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A1AA0">
      <w:pPr>
        <w:pStyle w:val="20"/>
        <w:spacing w:line="540" w:lineRule="exact"/>
        <w:ind w:left="0" w:leftChars="0" w:firstLine="0" w:firstLineChars="0"/>
        <w:outlineLvl w:val="2"/>
        <w:rPr>
          <w:rFonts w:hint="default" w:eastAsia="黑体"/>
          <w:color w:val="000000"/>
          <w:lang w:val="en-US" w:eastAsia="zh-CN"/>
        </w:rPr>
      </w:pPr>
      <w:r>
        <w:rPr>
          <w:rFonts w:eastAsia="黑体"/>
          <w:color w:val="000000"/>
        </w:rPr>
        <w:t>津工信财〔202</w:t>
      </w:r>
      <w:r>
        <w:rPr>
          <w:rFonts w:hint="eastAsia" w:eastAsia="黑体"/>
          <w:color w:val="000000"/>
        </w:rPr>
        <w:t>6</w:t>
      </w:r>
      <w:r>
        <w:rPr>
          <w:rFonts w:eastAsia="黑体"/>
          <w:color w:val="000000"/>
        </w:rPr>
        <w:t>〕</w:t>
      </w:r>
      <w:r>
        <w:rPr>
          <w:rFonts w:hint="eastAsia" w:eastAsia="黑体"/>
          <w:color w:val="000000"/>
          <w:lang w:val="en-US" w:eastAsia="zh-CN"/>
        </w:rPr>
        <w:t>5</w:t>
      </w:r>
      <w:r>
        <w:rPr>
          <w:rFonts w:eastAsia="黑体"/>
          <w:color w:val="000000"/>
        </w:rPr>
        <w:t>号附件</w:t>
      </w:r>
      <w:r>
        <w:rPr>
          <w:rFonts w:hint="eastAsia" w:eastAsia="黑体"/>
          <w:color w:val="000000"/>
          <w:lang w:val="en-US" w:eastAsia="zh-CN"/>
        </w:rPr>
        <w:t>5</w:t>
      </w:r>
    </w:p>
    <w:p w14:paraId="79A9A688">
      <w:pPr>
        <w:pStyle w:val="20"/>
        <w:spacing w:line="540" w:lineRule="exact"/>
        <w:ind w:firstLine="143" w:firstLineChars="46"/>
        <w:jc w:val="center"/>
        <w:outlineLvl w:val="2"/>
        <w:rPr>
          <w:rFonts w:eastAsia="黑体"/>
          <w:color w:val="000000"/>
        </w:rPr>
      </w:pPr>
    </w:p>
    <w:p w14:paraId="49228C0D">
      <w:pPr>
        <w:pStyle w:val="20"/>
        <w:spacing w:line="540" w:lineRule="exact"/>
        <w:ind w:firstLine="0" w:firstLineChars="0"/>
        <w:jc w:val="center"/>
        <w:outlineLvl w:val="2"/>
        <w:rPr>
          <w:rFonts w:eastAsia="方正小标宋简体"/>
          <w:color w:val="000000"/>
          <w:sz w:val="44"/>
          <w:szCs w:val="44"/>
          <w:lang w:bidi="zh-CN"/>
        </w:rPr>
      </w:pPr>
      <w:r>
        <w:rPr>
          <w:rFonts w:eastAsia="方正小标宋简体"/>
          <w:color w:val="000000"/>
          <w:sz w:val="44"/>
          <w:szCs w:val="44"/>
          <w:lang w:bidi="zh-CN"/>
        </w:rPr>
        <w:t>202</w:t>
      </w:r>
      <w:r>
        <w:rPr>
          <w:rFonts w:hint="eastAsia" w:eastAsia="方正小标宋简体"/>
          <w:color w:val="000000"/>
          <w:sz w:val="44"/>
          <w:szCs w:val="44"/>
          <w:lang w:bidi="zh-CN"/>
        </w:rPr>
        <w:t>6</w:t>
      </w:r>
      <w:r>
        <w:rPr>
          <w:rFonts w:eastAsia="方正小标宋简体"/>
          <w:color w:val="000000"/>
          <w:sz w:val="44"/>
          <w:szCs w:val="44"/>
          <w:lang w:bidi="zh-CN"/>
        </w:rPr>
        <w:t>年</w:t>
      </w:r>
      <w:r>
        <w:rPr>
          <w:rFonts w:hint="eastAsia" w:eastAsia="方正小标宋简体"/>
          <w:color w:val="000000"/>
          <w:sz w:val="44"/>
          <w:szCs w:val="44"/>
          <w:lang w:bidi="zh-CN"/>
        </w:rPr>
        <w:t>第一批</w:t>
      </w:r>
      <w:r>
        <w:rPr>
          <w:rFonts w:eastAsia="方正小标宋简体"/>
          <w:color w:val="000000"/>
          <w:sz w:val="44"/>
          <w:szCs w:val="44"/>
          <w:lang w:bidi="zh-CN"/>
        </w:rPr>
        <w:t>天津市制造业高质量发展专项</w:t>
      </w:r>
    </w:p>
    <w:p w14:paraId="7E392658">
      <w:pPr>
        <w:pStyle w:val="20"/>
        <w:spacing w:line="540" w:lineRule="exact"/>
        <w:ind w:firstLine="198" w:firstLineChars="46"/>
        <w:jc w:val="center"/>
        <w:outlineLvl w:val="2"/>
        <w:rPr>
          <w:rFonts w:hint="eastAsia" w:eastAsia="方正小标宋简体"/>
          <w:color w:val="000000"/>
          <w:sz w:val="44"/>
          <w:szCs w:val="44"/>
          <w:lang w:bidi="zh-CN"/>
        </w:rPr>
      </w:pPr>
      <w:r>
        <w:rPr>
          <w:rFonts w:hint="eastAsia" w:eastAsia="方正小标宋简体"/>
          <w:color w:val="000000"/>
          <w:sz w:val="44"/>
          <w:szCs w:val="44"/>
          <w:lang w:bidi="zh-CN"/>
        </w:rPr>
        <w:t>应用场景（电子信息方向）建设</w:t>
      </w:r>
    </w:p>
    <w:p w14:paraId="31E51006">
      <w:pPr>
        <w:pStyle w:val="20"/>
        <w:spacing w:line="540" w:lineRule="exact"/>
        <w:ind w:firstLine="198" w:firstLineChars="46"/>
        <w:jc w:val="center"/>
        <w:outlineLvl w:val="2"/>
        <w:rPr>
          <w:rFonts w:eastAsia="方正小标宋简体"/>
          <w:color w:val="000000"/>
          <w:sz w:val="44"/>
          <w:szCs w:val="44"/>
          <w:lang w:bidi="zh-CN"/>
        </w:rPr>
      </w:pPr>
      <w:r>
        <w:rPr>
          <w:rFonts w:hint="eastAsia" w:eastAsia="方正小标宋简体"/>
          <w:color w:val="000000"/>
          <w:sz w:val="44"/>
          <w:szCs w:val="44"/>
          <w:lang w:bidi="zh-CN"/>
        </w:rPr>
        <w:t>项目</w:t>
      </w:r>
      <w:r>
        <w:rPr>
          <w:rFonts w:eastAsia="方正小标宋简体"/>
          <w:color w:val="000000"/>
          <w:sz w:val="44"/>
          <w:szCs w:val="44"/>
          <w:lang w:bidi="zh-CN"/>
        </w:rPr>
        <w:t>申报指南</w:t>
      </w:r>
    </w:p>
    <w:p w14:paraId="29605D56">
      <w:pPr>
        <w:pStyle w:val="22"/>
        <w:spacing w:line="540" w:lineRule="exact"/>
        <w:ind w:left="0" w:firstLine="622" w:firstLineChars="200"/>
        <w:jc w:val="left"/>
        <w:outlineLvl w:val="9"/>
        <w:rPr>
          <w:rFonts w:eastAsia="仿宋_GB2312"/>
          <w:color w:val="000000"/>
          <w:sz w:val="32"/>
          <w:szCs w:val="32"/>
          <w:lang w:val="en-US"/>
        </w:rPr>
      </w:pPr>
      <w:bookmarkStart w:id="0" w:name="_Hlk71118722"/>
    </w:p>
    <w:bookmarkEnd w:id="0"/>
    <w:p w14:paraId="154E19AF">
      <w:pPr>
        <w:pStyle w:val="24"/>
        <w:keepNext w:val="0"/>
        <w:keepLines w:val="0"/>
        <w:pageBreakBefore w:val="0"/>
        <w:kinsoku/>
        <w:wordWrap/>
        <w:overflowPunct/>
        <w:topLinePunct w:val="0"/>
        <w:bidi w:val="0"/>
        <w:spacing w:line="560" w:lineRule="exact"/>
        <w:ind w:left="0" w:firstLine="622" w:firstLineChars="200"/>
        <w:jc w:val="both"/>
        <w:textAlignment w:val="auto"/>
        <w:outlineLvl w:val="9"/>
        <w:rPr>
          <w:rFonts w:ascii="Times New Roman" w:hAnsi="Times New Roman" w:eastAsia="仿宋_GB2312" w:cs="Times New Roman"/>
          <w:color w:val="000000"/>
          <w:kern w:val="2"/>
          <w:sz w:val="32"/>
          <w:szCs w:val="32"/>
          <w:shd w:val="clear" w:color="FFFFFF" w:fill="D9D9D9"/>
          <w:lang w:val="en-US" w:bidi="ar-SA"/>
        </w:rPr>
      </w:pPr>
      <w:r>
        <w:rPr>
          <w:rFonts w:hint="eastAsia" w:ascii="Times New Roman" w:hAnsi="Times New Roman" w:eastAsia="仿宋_GB2312" w:cs="Times New Roman"/>
          <w:color w:val="000000"/>
          <w:kern w:val="2"/>
          <w:sz w:val="32"/>
          <w:szCs w:val="32"/>
          <w:lang w:val="en-US" w:eastAsia="zh-CN" w:bidi="ar-SA"/>
        </w:rPr>
        <w:t>为推动我市产业高质量发展，抢抓数字产业变革机遇，持续夯实现代化产业体系根基，全力推动我市电子信息产业提质升级，聚焦</w:t>
      </w:r>
      <w:r>
        <w:rPr>
          <w:rFonts w:hint="eastAsia" w:eastAsia="仿宋_GB2312"/>
          <w:color w:val="000000"/>
          <w:sz w:val="32"/>
          <w:szCs w:val="32"/>
        </w:rPr>
        <w:t>智能终</w:t>
      </w:r>
      <w:r>
        <w:rPr>
          <w:rFonts w:eastAsia="仿宋_GB2312"/>
          <w:color w:val="000000"/>
          <w:sz w:val="32"/>
          <w:szCs w:val="32"/>
        </w:rPr>
        <w:t>端</w:t>
      </w:r>
      <w:r>
        <w:rPr>
          <w:rFonts w:hint="eastAsia" w:eastAsia="仿宋_GB2312"/>
          <w:color w:val="000000"/>
          <w:sz w:val="32"/>
          <w:szCs w:val="32"/>
        </w:rPr>
        <w:t>、智能传感器、</w:t>
      </w:r>
      <w:r>
        <w:rPr>
          <w:rFonts w:hint="eastAsia" w:eastAsia="仿宋_GB2312"/>
          <w:color w:val="000000"/>
          <w:sz w:val="32"/>
          <w:szCs w:val="32"/>
          <w:lang w:eastAsia="zh-CN"/>
        </w:rPr>
        <w:t>集成电路</w:t>
      </w:r>
      <w:r>
        <w:rPr>
          <w:rFonts w:hint="eastAsia" w:ascii="Times New Roman" w:hAnsi="Times New Roman" w:eastAsia="仿宋_GB2312" w:cs="Times New Roman"/>
          <w:color w:val="000000"/>
          <w:kern w:val="2"/>
          <w:sz w:val="32"/>
          <w:szCs w:val="32"/>
          <w:lang w:val="en-US" w:eastAsia="zh-CN" w:bidi="ar-SA"/>
        </w:rPr>
        <w:t>等重点领域，</w:t>
      </w:r>
      <w:r>
        <w:rPr>
          <w:rFonts w:hint="eastAsia" w:ascii="Times New Roman" w:hAnsi="Times New Roman" w:eastAsia="仿宋_GB2312" w:cs="Times New Roman"/>
          <w:kern w:val="2"/>
          <w:sz w:val="32"/>
          <w:szCs w:val="32"/>
          <w:lang w:val="en-US" w:eastAsia="zh-CN" w:bidi="ar-SA"/>
        </w:rPr>
        <w:t>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r>
        <w:rPr>
          <w:rFonts w:ascii="Times New Roman" w:hAnsi="Times New Roman" w:eastAsia="仿宋_GB2312" w:cs="Times New Roman"/>
          <w:color w:val="000000"/>
          <w:kern w:val="2"/>
          <w:sz w:val="32"/>
          <w:szCs w:val="32"/>
          <w:lang w:val="en-US" w:bidi="ar-SA"/>
        </w:rPr>
        <w:t>制定本指南。现将项目申报有关事项通知如下</w:t>
      </w:r>
      <w:r>
        <w:rPr>
          <w:rFonts w:hint="eastAsia" w:ascii="Times New Roman" w:hAnsi="Times New Roman" w:eastAsia="仿宋_GB2312" w:cs="Times New Roman"/>
          <w:color w:val="000000"/>
          <w:kern w:val="2"/>
          <w:sz w:val="32"/>
          <w:szCs w:val="32"/>
          <w:lang w:val="en-US" w:bidi="ar-SA"/>
        </w:rPr>
        <w:t>：</w:t>
      </w:r>
    </w:p>
    <w:p w14:paraId="3419AF8B">
      <w:pPr>
        <w:keepNext w:val="0"/>
        <w:keepLines w:val="0"/>
        <w:pageBreakBefore w:val="0"/>
        <w:kinsoku/>
        <w:wordWrap/>
        <w:overflowPunct/>
        <w:topLinePunct w:val="0"/>
        <w:bidi w:val="0"/>
        <w:spacing w:line="560" w:lineRule="exact"/>
        <w:ind w:firstLine="622" w:firstLineChars="200"/>
        <w:textAlignment w:val="auto"/>
        <w:rPr>
          <w:rFonts w:eastAsia="黑体"/>
          <w:color w:val="000000"/>
          <w:sz w:val="32"/>
          <w:szCs w:val="32"/>
        </w:rPr>
      </w:pPr>
      <w:r>
        <w:rPr>
          <w:rFonts w:eastAsia="黑体"/>
          <w:color w:val="000000"/>
          <w:sz w:val="32"/>
          <w:szCs w:val="32"/>
        </w:rPr>
        <w:t>一、支持方向及支持方式</w:t>
      </w:r>
    </w:p>
    <w:p w14:paraId="66020FA5">
      <w:pPr>
        <w:keepNext w:val="0"/>
        <w:keepLines w:val="0"/>
        <w:pageBreakBefore w:val="0"/>
        <w:widowControl/>
        <w:shd w:val="clear" w:color="auto" w:fill="FFFFFF"/>
        <w:kinsoku/>
        <w:wordWrap/>
        <w:overflowPunct/>
        <w:topLinePunct w:val="0"/>
        <w:bidi w:val="0"/>
        <w:spacing w:line="560" w:lineRule="exact"/>
        <w:ind w:firstLine="622" w:firstLineChars="200"/>
        <w:textAlignment w:val="auto"/>
        <w:rPr>
          <w:rFonts w:hint="eastAsia" w:eastAsia="仿宋_GB2312"/>
          <w:color w:val="000000"/>
          <w:sz w:val="32"/>
          <w:szCs w:val="32"/>
        </w:rPr>
      </w:pPr>
      <w:r>
        <w:rPr>
          <w:rFonts w:hint="eastAsia" w:eastAsia="仿宋_GB2312"/>
          <w:color w:val="000000"/>
          <w:sz w:val="32"/>
          <w:szCs w:val="32"/>
        </w:rPr>
        <w:t>支持企业面向先进计算、人工智能、可穿戴设备等领域开展应用场景电子信息产品的研发生产项目，包括智能终</w:t>
      </w:r>
      <w:r>
        <w:rPr>
          <w:rFonts w:eastAsia="仿宋_GB2312"/>
          <w:color w:val="000000"/>
          <w:sz w:val="32"/>
          <w:szCs w:val="32"/>
        </w:rPr>
        <w:t>端</w:t>
      </w:r>
      <w:r>
        <w:rPr>
          <w:rFonts w:hint="eastAsia" w:eastAsia="仿宋_GB2312"/>
          <w:color w:val="000000"/>
          <w:sz w:val="32"/>
          <w:szCs w:val="32"/>
        </w:rPr>
        <w:t>、智能传感器、集成电路</w:t>
      </w:r>
      <w:r>
        <w:rPr>
          <w:rFonts w:eastAsia="仿宋_GB2312"/>
          <w:color w:val="000000"/>
          <w:sz w:val="32"/>
          <w:szCs w:val="32"/>
        </w:rPr>
        <w:t>等。</w:t>
      </w:r>
      <w:r>
        <w:rPr>
          <w:rFonts w:hint="eastAsia" w:eastAsia="仿宋_GB2312"/>
          <w:color w:val="000000"/>
          <w:sz w:val="32"/>
          <w:szCs w:val="32"/>
        </w:rPr>
        <w:t>按照项目实际投资额的20%</w:t>
      </w:r>
      <w:r>
        <w:rPr>
          <w:rFonts w:eastAsia="仿宋_GB2312"/>
          <w:color w:val="000000"/>
          <w:sz w:val="32"/>
          <w:szCs w:val="32"/>
        </w:rPr>
        <w:t>、</w:t>
      </w:r>
      <w:r>
        <w:rPr>
          <w:rFonts w:hint="eastAsia" w:eastAsia="仿宋_GB2312"/>
          <w:color w:val="000000"/>
          <w:sz w:val="32"/>
          <w:szCs w:val="32"/>
        </w:rPr>
        <w:t>分级分类给予</w:t>
      </w:r>
      <w:r>
        <w:rPr>
          <w:rFonts w:eastAsia="仿宋_GB2312"/>
          <w:color w:val="000000"/>
          <w:sz w:val="32"/>
          <w:szCs w:val="32"/>
        </w:rPr>
        <w:t>最高</w:t>
      </w:r>
      <w:r>
        <w:rPr>
          <w:rFonts w:hint="eastAsia" w:eastAsia="仿宋_GB2312"/>
          <w:color w:val="000000"/>
          <w:sz w:val="32"/>
          <w:szCs w:val="32"/>
          <w:lang w:val="en-US" w:eastAsia="zh-CN"/>
        </w:rPr>
        <w:t>10</w:t>
      </w:r>
      <w:r>
        <w:rPr>
          <w:rFonts w:hint="eastAsia" w:eastAsia="仿宋_GB2312"/>
          <w:color w:val="000000"/>
          <w:sz w:val="32"/>
          <w:szCs w:val="32"/>
        </w:rPr>
        <w:t>00</w:t>
      </w:r>
      <w:r>
        <w:rPr>
          <w:rFonts w:eastAsia="仿宋_GB2312"/>
          <w:color w:val="000000"/>
          <w:sz w:val="32"/>
          <w:szCs w:val="32"/>
        </w:rPr>
        <w:t>万元资金支持。</w:t>
      </w:r>
    </w:p>
    <w:p w14:paraId="097ED9EE">
      <w:pPr>
        <w:keepNext w:val="0"/>
        <w:keepLines w:val="0"/>
        <w:pageBreakBefore w:val="0"/>
        <w:kinsoku/>
        <w:wordWrap/>
        <w:overflowPunct/>
        <w:topLinePunct w:val="0"/>
        <w:bidi w:val="0"/>
        <w:adjustRightInd w:val="0"/>
        <w:spacing w:line="560" w:lineRule="exact"/>
        <w:ind w:firstLine="622" w:firstLineChars="200"/>
        <w:textAlignment w:val="auto"/>
        <w:rPr>
          <w:rFonts w:eastAsia="黑体"/>
          <w:color w:val="000000"/>
          <w:sz w:val="32"/>
          <w:szCs w:val="32"/>
        </w:rPr>
      </w:pPr>
      <w:r>
        <w:rPr>
          <w:rFonts w:hint="eastAsia" w:eastAsia="黑体"/>
          <w:color w:val="000000"/>
          <w:sz w:val="32"/>
          <w:szCs w:val="32"/>
        </w:rPr>
        <w:t>二、申报条件</w:t>
      </w:r>
    </w:p>
    <w:p w14:paraId="592B93F5">
      <w:pPr>
        <w:keepNext w:val="0"/>
        <w:keepLines w:val="0"/>
        <w:pageBreakBefore w:val="0"/>
        <w:widowControl/>
        <w:shd w:val="clear" w:color="auto" w:fill="FFFFFF"/>
        <w:kinsoku/>
        <w:wordWrap/>
        <w:overflowPunct/>
        <w:topLinePunct w:val="0"/>
        <w:bidi w:val="0"/>
        <w:spacing w:line="560" w:lineRule="exact"/>
        <w:ind w:firstLine="640"/>
        <w:textAlignment w:val="auto"/>
        <w:rPr>
          <w:rFonts w:hint="eastAsia" w:eastAsia="仿宋_GB2312"/>
          <w:color w:val="000000"/>
          <w:kern w:val="0"/>
          <w:sz w:val="32"/>
          <w:szCs w:val="32"/>
          <w:lang w:eastAsia="zh-CN"/>
        </w:rPr>
      </w:pPr>
      <w:r>
        <w:rPr>
          <w:rFonts w:eastAsia="仿宋_GB2312"/>
          <w:color w:val="000000"/>
          <w:sz w:val="32"/>
          <w:szCs w:val="32"/>
        </w:rPr>
        <w:t>（一）符合通知正文中</w:t>
      </w:r>
      <w:r>
        <w:rPr>
          <w:rFonts w:hint="eastAsia" w:eastAsia="仿宋_GB2312"/>
          <w:color w:val="000000"/>
          <w:sz w:val="32"/>
          <w:szCs w:val="32"/>
        </w:rPr>
        <w:t>“</w:t>
      </w:r>
      <w:r>
        <w:rPr>
          <w:rFonts w:eastAsia="仿宋_GB2312"/>
          <w:color w:val="000000"/>
          <w:sz w:val="32"/>
          <w:szCs w:val="32"/>
        </w:rPr>
        <w:t>申报条件</w:t>
      </w:r>
      <w:r>
        <w:rPr>
          <w:rFonts w:hint="eastAsia" w:eastAsia="仿宋_GB2312"/>
          <w:color w:val="000000"/>
          <w:sz w:val="32"/>
          <w:szCs w:val="32"/>
        </w:rPr>
        <w:t>”</w:t>
      </w:r>
      <w:r>
        <w:rPr>
          <w:rFonts w:eastAsia="仿宋_GB2312"/>
          <w:color w:val="000000"/>
          <w:sz w:val="32"/>
          <w:szCs w:val="32"/>
        </w:rPr>
        <w:t>的所有要求</w:t>
      </w:r>
      <w:r>
        <w:rPr>
          <w:rFonts w:hint="eastAsia" w:eastAsia="仿宋_GB2312"/>
          <w:color w:val="000000"/>
          <w:sz w:val="32"/>
          <w:szCs w:val="32"/>
          <w:lang w:eastAsia="zh-CN"/>
        </w:rPr>
        <w:t>；</w:t>
      </w:r>
    </w:p>
    <w:p w14:paraId="16FBC1CB">
      <w:pPr>
        <w:keepNext w:val="0"/>
        <w:keepLines w:val="0"/>
        <w:pageBreakBefore w:val="0"/>
        <w:widowControl/>
        <w:shd w:val="clear" w:color="auto" w:fill="FFFFFF"/>
        <w:kinsoku/>
        <w:wordWrap/>
        <w:overflowPunct/>
        <w:topLinePunct w:val="0"/>
        <w:bidi w:val="0"/>
        <w:spacing w:line="560" w:lineRule="exact"/>
        <w:ind w:firstLine="640"/>
        <w:textAlignment w:val="auto"/>
        <w:rPr>
          <w:rFonts w:eastAsia="仿宋_GB2312"/>
          <w:color w:val="000000"/>
          <w:sz w:val="32"/>
          <w:szCs w:val="32"/>
        </w:rPr>
      </w:pPr>
      <w:r>
        <w:rPr>
          <w:rFonts w:eastAsia="仿宋_GB2312"/>
          <w:color w:val="000000"/>
          <w:sz w:val="32"/>
          <w:szCs w:val="32"/>
        </w:rPr>
        <w:t>（二）</w:t>
      </w:r>
      <w:r>
        <w:rPr>
          <w:rFonts w:eastAsia="仿宋_GB2312"/>
          <w:color w:val="000000"/>
          <w:kern w:val="0"/>
          <w:sz w:val="32"/>
          <w:szCs w:val="32"/>
        </w:rPr>
        <w:t>项目申报单位为</w:t>
      </w:r>
      <w:r>
        <w:rPr>
          <w:rFonts w:eastAsia="仿宋_GB2312"/>
          <w:color w:val="000000"/>
          <w:sz w:val="32"/>
          <w:szCs w:val="32"/>
        </w:rPr>
        <w:t>独立法人单位</w:t>
      </w:r>
      <w:r>
        <w:rPr>
          <w:rFonts w:eastAsia="仿宋_GB2312"/>
          <w:color w:val="000000"/>
          <w:kern w:val="0"/>
          <w:sz w:val="32"/>
          <w:szCs w:val="32"/>
        </w:rPr>
        <w:t>，</w:t>
      </w:r>
      <w:r>
        <w:rPr>
          <w:rFonts w:hint="eastAsia" w:eastAsia="仿宋_GB2312"/>
          <w:color w:val="000000"/>
          <w:kern w:val="0"/>
          <w:sz w:val="32"/>
          <w:szCs w:val="32"/>
        </w:rPr>
        <w:t>在我市实际开展生产经营活动满</w:t>
      </w:r>
      <w:r>
        <w:rPr>
          <w:rFonts w:hint="eastAsia" w:eastAsia="仿宋_GB2312"/>
          <w:color w:val="000000"/>
          <w:kern w:val="0"/>
          <w:sz w:val="32"/>
          <w:szCs w:val="32"/>
          <w:lang w:val="en-US" w:eastAsia="zh-CN"/>
        </w:rPr>
        <w:t>一</w:t>
      </w:r>
      <w:r>
        <w:rPr>
          <w:rFonts w:hint="eastAsia" w:eastAsia="仿宋_GB2312"/>
          <w:color w:val="000000"/>
          <w:kern w:val="0"/>
          <w:sz w:val="32"/>
          <w:szCs w:val="32"/>
        </w:rPr>
        <w:t>年</w:t>
      </w:r>
      <w:r>
        <w:rPr>
          <w:rFonts w:eastAsia="仿宋_GB2312"/>
          <w:color w:val="000000"/>
          <w:sz w:val="32"/>
          <w:szCs w:val="32"/>
        </w:rPr>
        <w:t>。</w:t>
      </w:r>
    </w:p>
    <w:p w14:paraId="40944F70">
      <w:pPr>
        <w:keepNext w:val="0"/>
        <w:keepLines w:val="0"/>
        <w:pageBreakBefore w:val="0"/>
        <w:kinsoku/>
        <w:wordWrap/>
        <w:overflowPunct/>
        <w:topLinePunct w:val="0"/>
        <w:bidi w:val="0"/>
        <w:spacing w:line="560" w:lineRule="exact"/>
        <w:ind w:firstLine="627"/>
        <w:textAlignment w:val="auto"/>
        <w:rPr>
          <w:rFonts w:eastAsia="仿宋_GB2312"/>
          <w:color w:val="000000"/>
          <w:kern w:val="0"/>
          <w:sz w:val="32"/>
          <w:szCs w:val="32"/>
        </w:rPr>
      </w:pPr>
      <w:r>
        <w:rPr>
          <w:rFonts w:eastAsia="仿宋_GB2312"/>
          <w:color w:val="000000"/>
          <w:kern w:val="0"/>
          <w:sz w:val="32"/>
          <w:szCs w:val="32"/>
          <w:lang w:bidi="zh-CN"/>
        </w:rPr>
        <w:t>（三）</w:t>
      </w:r>
      <w:r>
        <w:rPr>
          <w:rFonts w:eastAsia="仿宋_GB2312"/>
          <w:color w:val="000000"/>
          <w:kern w:val="0"/>
          <w:sz w:val="32"/>
          <w:szCs w:val="32"/>
        </w:rPr>
        <w:t>申报的项目要求拥有自主知识产权、技术先进、应用示范带动作用良好，并</w:t>
      </w:r>
      <w:r>
        <w:rPr>
          <w:rFonts w:hint="eastAsia" w:eastAsia="仿宋_GB2312"/>
          <w:color w:val="000000"/>
          <w:kern w:val="0"/>
          <w:sz w:val="32"/>
          <w:szCs w:val="32"/>
        </w:rPr>
        <w:t>可</w:t>
      </w:r>
      <w:r>
        <w:rPr>
          <w:rFonts w:eastAsia="仿宋_GB2312"/>
          <w:color w:val="000000"/>
          <w:kern w:val="0"/>
          <w:sz w:val="32"/>
          <w:szCs w:val="32"/>
        </w:rPr>
        <w:t>形成产业规模。</w:t>
      </w:r>
    </w:p>
    <w:p w14:paraId="5852D73C">
      <w:pPr>
        <w:keepNext w:val="0"/>
        <w:keepLines w:val="0"/>
        <w:pageBreakBefore w:val="0"/>
        <w:widowControl/>
        <w:shd w:val="clear" w:color="auto" w:fill="FFFFFF"/>
        <w:kinsoku/>
        <w:wordWrap/>
        <w:overflowPunct/>
        <w:topLinePunct w:val="0"/>
        <w:bidi w:val="0"/>
        <w:spacing w:line="560" w:lineRule="exact"/>
        <w:ind w:firstLine="640"/>
        <w:textAlignment w:val="auto"/>
        <w:rPr>
          <w:rFonts w:hint="eastAsia" w:eastAsia="仿宋_GB2312"/>
          <w:color w:val="000000"/>
          <w:sz w:val="32"/>
          <w:szCs w:val="32"/>
        </w:rPr>
      </w:pPr>
      <w:r>
        <w:rPr>
          <w:rFonts w:eastAsia="仿宋_GB2312"/>
          <w:color w:val="000000"/>
          <w:sz w:val="32"/>
          <w:szCs w:val="32"/>
        </w:rPr>
        <w:t>（</w:t>
      </w:r>
      <w:r>
        <w:rPr>
          <w:rFonts w:hint="eastAsia" w:eastAsia="仿宋_GB2312"/>
          <w:color w:val="000000"/>
          <w:sz w:val="32"/>
          <w:szCs w:val="32"/>
        </w:rPr>
        <w:t>四</w:t>
      </w:r>
      <w:r>
        <w:rPr>
          <w:rFonts w:eastAsia="仿宋_GB2312"/>
          <w:color w:val="000000"/>
          <w:sz w:val="32"/>
          <w:szCs w:val="32"/>
        </w:rPr>
        <w:t>）申报项目投资中包括材料费、设备购置费、设备租赁费、测试加工费、软件开发费用等</w:t>
      </w:r>
      <w:r>
        <w:rPr>
          <w:rFonts w:hint="eastAsia" w:eastAsia="仿宋_GB2312"/>
          <w:color w:val="000000"/>
          <w:sz w:val="32"/>
          <w:szCs w:val="32"/>
        </w:rPr>
        <w:t>，</w:t>
      </w:r>
      <w:r>
        <w:rPr>
          <w:rFonts w:hint="eastAsia" w:eastAsia="仿宋_GB2312"/>
          <w:color w:val="000000"/>
          <w:sz w:val="32"/>
          <w:szCs w:val="32"/>
          <w:highlight w:val="none"/>
          <w:lang w:val="en-US" w:eastAsia="zh-CN"/>
        </w:rPr>
        <w:t>不含</w:t>
      </w:r>
      <w:r>
        <w:rPr>
          <w:rFonts w:hint="eastAsia" w:eastAsia="仿宋_GB2312"/>
          <w:color w:val="000000"/>
          <w:sz w:val="32"/>
          <w:szCs w:val="32"/>
          <w:highlight w:val="none"/>
        </w:rPr>
        <w:t>土地购置</w:t>
      </w:r>
      <w:r>
        <w:rPr>
          <w:rFonts w:hint="eastAsia" w:eastAsia="仿宋_GB2312"/>
          <w:color w:val="000000"/>
          <w:sz w:val="32"/>
          <w:szCs w:val="32"/>
          <w:highlight w:val="none"/>
          <w:lang w:val="en-US" w:eastAsia="zh-CN"/>
        </w:rPr>
        <w:t>费</w:t>
      </w:r>
      <w:r>
        <w:rPr>
          <w:rFonts w:hint="eastAsia" w:eastAsia="仿宋_GB2312"/>
          <w:color w:val="000000"/>
          <w:sz w:val="32"/>
          <w:szCs w:val="32"/>
          <w:highlight w:val="none"/>
        </w:rPr>
        <w:t>、厂房建设</w:t>
      </w:r>
      <w:r>
        <w:rPr>
          <w:rFonts w:hint="eastAsia" w:eastAsia="仿宋_GB2312"/>
          <w:color w:val="000000"/>
          <w:sz w:val="32"/>
          <w:szCs w:val="32"/>
          <w:highlight w:val="none"/>
          <w:lang w:val="en-US" w:eastAsia="zh-CN"/>
        </w:rPr>
        <w:t>费</w:t>
      </w:r>
      <w:r>
        <w:rPr>
          <w:rFonts w:hint="eastAsia" w:eastAsia="仿宋_GB2312"/>
          <w:color w:val="000000"/>
          <w:sz w:val="32"/>
          <w:szCs w:val="32"/>
          <w:highlight w:val="none"/>
        </w:rPr>
        <w:t>等</w:t>
      </w:r>
      <w:r>
        <w:rPr>
          <w:rFonts w:hint="eastAsia" w:eastAsia="仿宋_GB2312"/>
          <w:color w:val="000000"/>
          <w:sz w:val="32"/>
          <w:szCs w:val="32"/>
        </w:rPr>
        <w:t>，</w:t>
      </w:r>
      <w:r>
        <w:rPr>
          <w:rFonts w:eastAsia="仿宋_GB2312"/>
          <w:color w:val="000000"/>
          <w:sz w:val="32"/>
          <w:szCs w:val="32"/>
        </w:rPr>
        <w:t>项目</w:t>
      </w:r>
      <w:r>
        <w:rPr>
          <w:rFonts w:hint="eastAsia" w:eastAsia="仿宋_GB2312"/>
          <w:color w:val="000000"/>
          <w:sz w:val="32"/>
          <w:szCs w:val="32"/>
        </w:rPr>
        <w:t>为在建项目</w:t>
      </w:r>
      <w:r>
        <w:rPr>
          <w:rFonts w:eastAsia="仿宋_GB2312"/>
          <w:color w:val="000000"/>
          <w:sz w:val="32"/>
          <w:szCs w:val="32"/>
        </w:rPr>
        <w:t>，项目建设期不超过2年</w:t>
      </w:r>
      <w:r>
        <w:rPr>
          <w:rFonts w:hint="eastAsia" w:eastAsia="仿宋_GB2312"/>
          <w:color w:val="000000"/>
          <w:sz w:val="32"/>
          <w:szCs w:val="32"/>
        </w:rPr>
        <w:t>。</w:t>
      </w:r>
    </w:p>
    <w:p w14:paraId="7A8538AF">
      <w:pPr>
        <w:keepNext w:val="0"/>
        <w:keepLines w:val="0"/>
        <w:pageBreakBefore w:val="0"/>
        <w:kinsoku/>
        <w:wordWrap/>
        <w:overflowPunct/>
        <w:topLinePunct w:val="0"/>
        <w:bidi w:val="0"/>
        <w:adjustRightInd w:val="0"/>
        <w:snapToGrid w:val="0"/>
        <w:spacing w:line="560" w:lineRule="exact"/>
        <w:ind w:firstLine="660"/>
        <w:textAlignment w:val="auto"/>
        <w:rPr>
          <w:rFonts w:eastAsia="仿宋_GB2312"/>
          <w:color w:val="000000"/>
          <w:sz w:val="32"/>
          <w:szCs w:val="32"/>
        </w:rPr>
      </w:pPr>
      <w:r>
        <w:rPr>
          <w:rFonts w:eastAsia="黑体"/>
          <w:color w:val="000000"/>
          <w:sz w:val="32"/>
          <w:szCs w:val="32"/>
        </w:rPr>
        <w:t>三、申报材料</w:t>
      </w:r>
    </w:p>
    <w:p w14:paraId="6C6F0CE3">
      <w:pPr>
        <w:keepNext w:val="0"/>
        <w:keepLines w:val="0"/>
        <w:pageBreakBefore w:val="0"/>
        <w:widowControl/>
        <w:shd w:val="clear" w:color="auto" w:fill="FFFFFF"/>
        <w:kinsoku/>
        <w:wordWrap/>
        <w:overflowPunct/>
        <w:topLinePunct w:val="0"/>
        <w:bidi w:val="0"/>
        <w:spacing w:line="560" w:lineRule="exact"/>
        <w:ind w:firstLine="640"/>
        <w:jc w:val="left"/>
        <w:textAlignment w:val="auto"/>
        <w:rPr>
          <w:rFonts w:eastAsia="仿宋_GB2312"/>
          <w:color w:val="000000"/>
          <w:kern w:val="0"/>
          <w:sz w:val="32"/>
          <w:szCs w:val="32"/>
        </w:rPr>
      </w:pPr>
      <w:r>
        <w:rPr>
          <w:rFonts w:eastAsia="仿宋_GB2312"/>
          <w:color w:val="000000"/>
          <w:sz w:val="32"/>
          <w:szCs w:val="32"/>
        </w:rPr>
        <w:t>申报单位需提交以下材料，按通</w:t>
      </w:r>
      <w:r>
        <w:rPr>
          <w:rFonts w:eastAsia="仿宋_GB2312"/>
          <w:color w:val="000000"/>
          <w:kern w:val="0"/>
          <w:sz w:val="32"/>
          <w:szCs w:val="32"/>
        </w:rPr>
        <w:t>知要求顺序装订</w:t>
      </w:r>
      <w:r>
        <w:rPr>
          <w:rFonts w:hint="eastAsia" w:eastAsia="仿宋_GB2312"/>
          <w:color w:val="000000"/>
          <w:kern w:val="0"/>
          <w:sz w:val="32"/>
          <w:szCs w:val="32"/>
        </w:rPr>
        <w:t>：</w:t>
      </w:r>
    </w:p>
    <w:p w14:paraId="1700DFF6">
      <w:pPr>
        <w:keepNext w:val="0"/>
        <w:keepLines w:val="0"/>
        <w:pageBreakBefore w:val="0"/>
        <w:kinsoku/>
        <w:wordWrap/>
        <w:overflowPunct/>
        <w:topLinePunct w:val="0"/>
        <w:bidi w:val="0"/>
        <w:adjustRightInd w:val="0"/>
        <w:snapToGrid w:val="0"/>
        <w:spacing w:line="560" w:lineRule="exact"/>
        <w:ind w:firstLine="622" w:firstLineChars="200"/>
        <w:textAlignment w:val="auto"/>
        <w:rPr>
          <w:rFonts w:eastAsia="仿宋_GB2312"/>
          <w:color w:val="000000"/>
          <w:sz w:val="32"/>
          <w:szCs w:val="32"/>
        </w:rPr>
      </w:pPr>
      <w:r>
        <w:rPr>
          <w:rFonts w:eastAsia="仿宋_GB2312"/>
          <w:color w:val="000000"/>
          <w:sz w:val="32"/>
          <w:szCs w:val="32"/>
        </w:rPr>
        <w:t>（一）通知正文中要求的申报材料；</w:t>
      </w:r>
    </w:p>
    <w:p w14:paraId="4A105E81">
      <w:pPr>
        <w:keepNext w:val="0"/>
        <w:keepLines w:val="0"/>
        <w:pageBreakBefore w:val="0"/>
        <w:widowControl/>
        <w:shd w:val="clear" w:color="auto" w:fill="FFFFFF"/>
        <w:kinsoku/>
        <w:wordWrap/>
        <w:overflowPunct/>
        <w:topLinePunct w:val="0"/>
        <w:bidi w:val="0"/>
        <w:spacing w:line="560" w:lineRule="exact"/>
        <w:ind w:firstLine="640"/>
        <w:textAlignment w:val="auto"/>
        <w:rPr>
          <w:rFonts w:eastAsia="仿宋_GB2312"/>
          <w:color w:val="000000"/>
          <w:kern w:val="0"/>
          <w:sz w:val="32"/>
          <w:szCs w:val="32"/>
        </w:rPr>
      </w:pPr>
      <w:r>
        <w:rPr>
          <w:rFonts w:eastAsia="仿宋_GB2312"/>
          <w:color w:val="000000"/>
          <w:sz w:val="32"/>
          <w:szCs w:val="32"/>
        </w:rPr>
        <w:t>（</w:t>
      </w:r>
      <w:r>
        <w:rPr>
          <w:rFonts w:hint="eastAsia" w:eastAsia="仿宋_GB2312"/>
          <w:color w:val="000000"/>
          <w:sz w:val="32"/>
          <w:szCs w:val="32"/>
        </w:rPr>
        <w:t>二</w:t>
      </w:r>
      <w:r>
        <w:rPr>
          <w:rFonts w:eastAsia="仿宋_GB2312"/>
          <w:color w:val="000000"/>
          <w:sz w:val="32"/>
          <w:szCs w:val="32"/>
        </w:rPr>
        <w:t>）填写附件</w:t>
      </w:r>
      <w:r>
        <w:rPr>
          <w:rFonts w:hint="eastAsia" w:eastAsia="仿宋_GB2312"/>
          <w:color w:val="000000"/>
          <w:sz w:val="32"/>
          <w:szCs w:val="32"/>
          <w:lang w:val="en-US" w:eastAsia="zh-CN"/>
        </w:rPr>
        <w:t>5</w:t>
      </w:r>
      <w:r>
        <w:rPr>
          <w:rFonts w:hint="eastAsia" w:ascii="Times New Roman" w:hAnsi="Times New Roman" w:eastAsia="仿宋_GB2312"/>
          <w:sz w:val="32"/>
          <w:szCs w:val="32"/>
          <w:lang w:bidi="ar"/>
        </w:rPr>
        <w:t>—</w:t>
      </w:r>
      <w:r>
        <w:rPr>
          <w:rFonts w:hint="eastAsia" w:eastAsia="仿宋_GB2312"/>
          <w:color w:val="000000"/>
          <w:sz w:val="32"/>
          <w:szCs w:val="32"/>
        </w:rPr>
        <w:t>1；</w:t>
      </w:r>
    </w:p>
    <w:p w14:paraId="4C943EF5">
      <w:pPr>
        <w:keepNext w:val="0"/>
        <w:keepLines w:val="0"/>
        <w:pageBreakBefore w:val="0"/>
        <w:widowControl/>
        <w:shd w:val="clear" w:color="auto" w:fill="FFFFFF"/>
        <w:kinsoku/>
        <w:wordWrap/>
        <w:overflowPunct/>
        <w:topLinePunct w:val="0"/>
        <w:bidi w:val="0"/>
        <w:spacing w:line="560" w:lineRule="exact"/>
        <w:ind w:firstLine="640"/>
        <w:textAlignment w:val="auto"/>
        <w:rPr>
          <w:color w:val="000000"/>
        </w:rPr>
      </w:pPr>
      <w:r>
        <w:rPr>
          <w:rFonts w:eastAsia="仿宋_GB2312"/>
          <w:color w:val="000000"/>
          <w:sz w:val="32"/>
          <w:szCs w:val="32"/>
        </w:rPr>
        <w:t>（</w:t>
      </w:r>
      <w:r>
        <w:rPr>
          <w:rFonts w:hint="eastAsia" w:eastAsia="仿宋_GB2312"/>
          <w:color w:val="000000"/>
          <w:sz w:val="32"/>
          <w:szCs w:val="32"/>
        </w:rPr>
        <w:t>三</w:t>
      </w:r>
      <w:r>
        <w:rPr>
          <w:rFonts w:eastAsia="仿宋_GB2312"/>
          <w:color w:val="000000"/>
          <w:sz w:val="32"/>
          <w:szCs w:val="32"/>
        </w:rPr>
        <w:t>）</w:t>
      </w:r>
      <w:r>
        <w:rPr>
          <w:rFonts w:eastAsia="仿宋_GB2312"/>
          <w:color w:val="000000"/>
          <w:kern w:val="0"/>
          <w:sz w:val="32"/>
          <w:szCs w:val="32"/>
        </w:rPr>
        <w:t>项目承担单位自筹资金出资能力证明（包括自有资金银行存款证明、贷款资金银行贷款承诺书、贷款协议及合同</w:t>
      </w:r>
      <w:r>
        <w:rPr>
          <w:rFonts w:hint="eastAsia" w:eastAsia="仿宋_GB2312"/>
          <w:color w:val="000000"/>
          <w:kern w:val="0"/>
          <w:sz w:val="32"/>
          <w:szCs w:val="32"/>
        </w:rPr>
        <w:t>、</w:t>
      </w:r>
      <w:r>
        <w:rPr>
          <w:rFonts w:eastAsia="仿宋_GB2312"/>
          <w:color w:val="000000"/>
          <w:kern w:val="0"/>
          <w:sz w:val="32"/>
          <w:szCs w:val="32"/>
        </w:rPr>
        <w:t>相关协议等）。</w:t>
      </w:r>
    </w:p>
    <w:p w14:paraId="671DF88A">
      <w:pPr>
        <w:keepNext w:val="0"/>
        <w:keepLines w:val="0"/>
        <w:pageBreakBefore w:val="0"/>
        <w:kinsoku/>
        <w:wordWrap/>
        <w:overflowPunct/>
        <w:topLinePunct w:val="0"/>
        <w:bidi w:val="0"/>
        <w:adjustRightInd w:val="0"/>
        <w:snapToGrid w:val="0"/>
        <w:spacing w:line="560" w:lineRule="exact"/>
        <w:ind w:firstLine="660"/>
        <w:textAlignment w:val="auto"/>
        <w:rPr>
          <w:rFonts w:eastAsia="黑体"/>
          <w:color w:val="000000"/>
          <w:sz w:val="32"/>
          <w:szCs w:val="32"/>
        </w:rPr>
      </w:pPr>
      <w:r>
        <w:rPr>
          <w:rFonts w:eastAsia="黑体"/>
          <w:color w:val="000000"/>
          <w:sz w:val="32"/>
          <w:szCs w:val="32"/>
        </w:rPr>
        <w:t>四、申报流程</w:t>
      </w:r>
    </w:p>
    <w:p w14:paraId="03DF890A">
      <w:pPr>
        <w:keepNext w:val="0"/>
        <w:keepLines w:val="0"/>
        <w:pageBreakBefore w:val="0"/>
        <w:kinsoku/>
        <w:wordWrap/>
        <w:overflowPunct/>
        <w:topLinePunct w:val="0"/>
        <w:bidi w:val="0"/>
        <w:adjustRightInd w:val="0"/>
        <w:snapToGrid w:val="0"/>
        <w:spacing w:line="560" w:lineRule="exact"/>
        <w:ind w:firstLine="645"/>
        <w:textAlignment w:val="auto"/>
        <w:rPr>
          <w:rFonts w:eastAsia="仿宋_GB2312"/>
          <w:color w:val="000000"/>
          <w:sz w:val="32"/>
          <w:szCs w:val="32"/>
        </w:rPr>
      </w:pPr>
      <w:r>
        <w:rPr>
          <w:rFonts w:eastAsia="仿宋_GB2312"/>
          <w:color w:val="000000"/>
          <w:sz w:val="32"/>
          <w:szCs w:val="32"/>
        </w:rPr>
        <w:t>（一）各项目申报单位按照文件要求准备申报材料，及时将申报材料报送至所在区工业和信息化主管部门</w:t>
      </w:r>
      <w:r>
        <w:rPr>
          <w:rFonts w:hint="eastAsia" w:eastAsia="仿宋_GB2312"/>
          <w:color w:val="000000"/>
          <w:sz w:val="32"/>
          <w:szCs w:val="32"/>
        </w:rPr>
        <w:t>初审后，报送至市工业和信息化局</w:t>
      </w:r>
      <w:r>
        <w:rPr>
          <w:rFonts w:eastAsia="仿宋_GB2312"/>
          <w:color w:val="000000"/>
          <w:sz w:val="32"/>
          <w:szCs w:val="32"/>
        </w:rPr>
        <w:t>。申报材料电子文档为PDF格式。</w:t>
      </w:r>
    </w:p>
    <w:p w14:paraId="6EF720E3">
      <w:pPr>
        <w:keepNext w:val="0"/>
        <w:keepLines w:val="0"/>
        <w:pageBreakBefore w:val="0"/>
        <w:widowControl/>
        <w:kinsoku/>
        <w:wordWrap/>
        <w:overflowPunct/>
        <w:topLinePunct w:val="0"/>
        <w:autoSpaceDE w:val="0"/>
        <w:autoSpaceDN w:val="0"/>
        <w:bidi w:val="0"/>
        <w:adjustRightInd w:val="0"/>
        <w:snapToGrid w:val="0"/>
        <w:spacing w:line="560" w:lineRule="exact"/>
        <w:ind w:firstLine="622" w:firstLineChars="200"/>
        <w:textAlignment w:val="auto"/>
        <w:rPr>
          <w:rFonts w:eastAsia="仿宋_GB2312"/>
          <w:color w:val="000000"/>
          <w:sz w:val="32"/>
          <w:szCs w:val="28"/>
        </w:rPr>
      </w:pPr>
      <w:r>
        <w:rPr>
          <w:rFonts w:eastAsia="仿宋_GB2312"/>
          <w:color w:val="000000"/>
          <w:sz w:val="32"/>
          <w:szCs w:val="28"/>
        </w:rPr>
        <w:t>（二）市工业和信息化局委托第三方机构，组织对项目进行评审，</w:t>
      </w:r>
      <w:bookmarkStart w:id="1" w:name="_GoBack"/>
      <w:bookmarkEnd w:id="1"/>
      <w:r>
        <w:rPr>
          <w:rFonts w:eastAsia="仿宋_GB2312"/>
          <w:color w:val="000000"/>
          <w:sz w:val="32"/>
          <w:szCs w:val="28"/>
        </w:rPr>
        <w:t>遴选确定支持的项目。</w:t>
      </w:r>
    </w:p>
    <w:p w14:paraId="0643A71F">
      <w:pPr>
        <w:keepNext w:val="0"/>
        <w:keepLines w:val="0"/>
        <w:pageBreakBefore w:val="0"/>
        <w:widowControl/>
        <w:kinsoku/>
        <w:wordWrap/>
        <w:overflowPunct/>
        <w:topLinePunct w:val="0"/>
        <w:autoSpaceDE w:val="0"/>
        <w:autoSpaceDN w:val="0"/>
        <w:bidi w:val="0"/>
        <w:adjustRightInd w:val="0"/>
        <w:snapToGrid w:val="0"/>
        <w:spacing w:line="560" w:lineRule="exact"/>
        <w:ind w:firstLine="622" w:firstLineChars="200"/>
        <w:textAlignment w:val="auto"/>
        <w:rPr>
          <w:rFonts w:eastAsia="仿宋_GB2312"/>
          <w:color w:val="000000"/>
          <w:sz w:val="32"/>
          <w:szCs w:val="28"/>
        </w:rPr>
      </w:pPr>
    </w:p>
    <w:p w14:paraId="06BFA96B">
      <w:pPr>
        <w:keepNext w:val="0"/>
        <w:keepLines w:val="0"/>
        <w:pageBreakBefore w:val="0"/>
        <w:widowControl/>
        <w:kinsoku/>
        <w:wordWrap/>
        <w:overflowPunct/>
        <w:topLinePunct w:val="0"/>
        <w:autoSpaceDE w:val="0"/>
        <w:autoSpaceDN w:val="0"/>
        <w:bidi w:val="0"/>
        <w:adjustRightInd w:val="0"/>
        <w:snapToGrid w:val="0"/>
        <w:spacing w:line="560" w:lineRule="exact"/>
        <w:ind w:firstLine="622" w:firstLineChars="200"/>
        <w:textAlignment w:val="auto"/>
        <w:rPr>
          <w:rFonts w:eastAsia="仿宋_GB2312"/>
          <w:color w:val="000000"/>
          <w:sz w:val="32"/>
          <w:szCs w:val="28"/>
        </w:rPr>
      </w:pPr>
      <w:r>
        <w:rPr>
          <w:rFonts w:eastAsia="仿宋_GB2312"/>
          <w:color w:val="000000"/>
          <w:sz w:val="32"/>
          <w:szCs w:val="32"/>
        </w:rPr>
        <w:t>附件：</w:t>
      </w:r>
      <w:r>
        <w:rPr>
          <w:rFonts w:hint="eastAsia" w:eastAsia="仿宋_GB2312"/>
          <w:color w:val="000000"/>
          <w:sz w:val="32"/>
          <w:szCs w:val="32"/>
          <w:lang w:val="en-US" w:eastAsia="zh-CN"/>
        </w:rPr>
        <w:t>5</w:t>
      </w:r>
      <w:r>
        <w:rPr>
          <w:rFonts w:hint="eastAsia" w:ascii="Times New Roman" w:hAnsi="Times New Roman" w:eastAsia="仿宋_GB2312"/>
          <w:sz w:val="32"/>
          <w:szCs w:val="32"/>
          <w:lang w:bidi="ar"/>
        </w:rPr>
        <w:t>—</w:t>
      </w:r>
      <w:r>
        <w:rPr>
          <w:rFonts w:eastAsia="方正姚体"/>
          <w:color w:val="000000"/>
          <w:sz w:val="32"/>
          <w:szCs w:val="32"/>
        </w:rPr>
        <w:t>1</w:t>
      </w:r>
      <w:r>
        <w:rPr>
          <w:rFonts w:eastAsia="仿宋_GB2312"/>
          <w:color w:val="000000"/>
          <w:sz w:val="32"/>
          <w:szCs w:val="32"/>
        </w:rPr>
        <w:t>．</w:t>
      </w:r>
      <w:r>
        <w:rPr>
          <w:rFonts w:hint="eastAsia" w:eastAsia="仿宋_GB2312"/>
          <w:color w:val="000000"/>
          <w:sz w:val="32"/>
          <w:szCs w:val="32"/>
        </w:rPr>
        <w:t>补充材料</w:t>
      </w:r>
    </w:p>
    <w:p w14:paraId="7AEEE590">
      <w:pPr>
        <w:keepNext w:val="0"/>
        <w:keepLines w:val="0"/>
        <w:pageBreakBefore w:val="0"/>
        <w:widowControl/>
        <w:shd w:val="clear" w:color="auto" w:fill="FFFFFF"/>
        <w:kinsoku/>
        <w:wordWrap/>
        <w:overflowPunct/>
        <w:topLinePunct w:val="0"/>
        <w:bidi w:val="0"/>
        <w:spacing w:line="560" w:lineRule="exact"/>
        <w:ind w:firstLine="622" w:firstLineChars="200"/>
        <w:textAlignment w:val="auto"/>
        <w:rPr>
          <w:rFonts w:eastAsia="仿宋_GB2312"/>
          <w:color w:val="000000"/>
          <w:kern w:val="0"/>
          <w:sz w:val="32"/>
          <w:szCs w:val="32"/>
        </w:rPr>
      </w:pPr>
    </w:p>
    <w:p w14:paraId="3C5AA5A7">
      <w:pPr>
        <w:keepNext w:val="0"/>
        <w:keepLines w:val="0"/>
        <w:pageBreakBefore w:val="0"/>
        <w:widowControl/>
        <w:shd w:val="clear" w:color="auto" w:fill="FFFFFF"/>
        <w:kinsoku/>
        <w:wordWrap/>
        <w:overflowPunct/>
        <w:topLinePunct w:val="0"/>
        <w:bidi w:val="0"/>
        <w:spacing w:line="560" w:lineRule="exact"/>
        <w:ind w:firstLine="622" w:firstLineChars="200"/>
        <w:textAlignment w:val="auto"/>
        <w:rPr>
          <w:rFonts w:eastAsia="仿宋_GB2312"/>
          <w:color w:val="000000"/>
          <w:kern w:val="0"/>
          <w:sz w:val="32"/>
          <w:szCs w:val="32"/>
        </w:rPr>
      </w:pPr>
      <w:r>
        <w:rPr>
          <w:rFonts w:eastAsia="仿宋_GB2312"/>
          <w:color w:val="000000"/>
          <w:kern w:val="0"/>
          <w:sz w:val="32"/>
          <w:szCs w:val="32"/>
        </w:rPr>
        <w:t>（联系人：市工业和信息化</w:t>
      </w:r>
      <w:r>
        <w:rPr>
          <w:rFonts w:hint="eastAsia" w:eastAsia="仿宋_GB2312"/>
          <w:color w:val="000000"/>
          <w:kern w:val="0"/>
          <w:sz w:val="32"/>
          <w:szCs w:val="32"/>
        </w:rPr>
        <w:t>局电子信息产业处</w:t>
      </w:r>
      <w:r>
        <w:rPr>
          <w:rFonts w:eastAsia="仿宋_GB2312"/>
          <w:color w:val="000000"/>
          <w:kern w:val="0"/>
          <w:sz w:val="32"/>
          <w:szCs w:val="32"/>
        </w:rPr>
        <w:t xml:space="preserve">  </w:t>
      </w:r>
      <w:r>
        <w:rPr>
          <w:rFonts w:hint="eastAsia" w:eastAsia="仿宋_GB2312"/>
          <w:color w:val="000000"/>
          <w:kern w:val="0"/>
          <w:sz w:val="32"/>
          <w:szCs w:val="32"/>
        </w:rPr>
        <w:t xml:space="preserve">李昊 </w:t>
      </w:r>
    </w:p>
    <w:p w14:paraId="11997301">
      <w:pPr>
        <w:keepNext w:val="0"/>
        <w:keepLines w:val="0"/>
        <w:pageBreakBefore w:val="0"/>
        <w:widowControl/>
        <w:shd w:val="clear" w:color="auto" w:fill="FFFFFF"/>
        <w:kinsoku/>
        <w:wordWrap/>
        <w:overflowPunct/>
        <w:topLinePunct w:val="0"/>
        <w:bidi w:val="0"/>
        <w:spacing w:line="560" w:lineRule="exact"/>
        <w:ind w:firstLine="640"/>
        <w:textAlignment w:val="auto"/>
        <w:rPr>
          <w:rFonts w:eastAsia="仿宋_GB2312"/>
          <w:color w:val="000000"/>
          <w:kern w:val="0"/>
          <w:sz w:val="32"/>
          <w:szCs w:val="32"/>
        </w:rPr>
      </w:pPr>
      <w:r>
        <w:rPr>
          <w:rFonts w:hint="eastAsia" w:eastAsia="仿宋_GB2312"/>
          <w:color w:val="000000"/>
          <w:kern w:val="0"/>
          <w:sz w:val="32"/>
          <w:szCs w:val="32"/>
        </w:rPr>
        <w:t xml:space="preserve">      </w:t>
      </w:r>
      <w:r>
        <w:rPr>
          <w:rFonts w:eastAsia="仿宋_GB2312"/>
          <w:color w:val="000000"/>
          <w:kern w:val="0"/>
          <w:sz w:val="32"/>
          <w:szCs w:val="32"/>
        </w:rPr>
        <w:t xml:space="preserve">    联系电话：</w:t>
      </w:r>
      <w:r>
        <w:rPr>
          <w:rFonts w:hint="eastAsia" w:eastAsia="仿宋_GB2312"/>
          <w:color w:val="000000"/>
          <w:kern w:val="0"/>
          <w:sz w:val="32"/>
          <w:szCs w:val="32"/>
        </w:rPr>
        <w:t>83607729</w:t>
      </w:r>
      <w:r>
        <w:rPr>
          <w:rFonts w:eastAsia="仿宋_GB2312"/>
          <w:color w:val="000000"/>
          <w:kern w:val="0"/>
          <w:sz w:val="32"/>
          <w:szCs w:val="32"/>
        </w:rPr>
        <w:t>）</w:t>
      </w:r>
      <w:r>
        <w:rPr>
          <w:rFonts w:hint="eastAsia" w:eastAsia="仿宋_GB2312"/>
          <w:color w:val="000000"/>
          <w:kern w:val="0"/>
          <w:sz w:val="32"/>
          <w:szCs w:val="32"/>
        </w:rPr>
        <w:t xml:space="preserve"> </w:t>
      </w:r>
    </w:p>
    <w:p w14:paraId="1E9B7A17">
      <w:pPr>
        <w:spacing w:line="560" w:lineRule="exact"/>
        <w:outlineLvl w:val="2"/>
        <w:rPr>
          <w:rFonts w:eastAsia="黑体"/>
          <w:color w:val="000000"/>
          <w:sz w:val="32"/>
          <w:szCs w:val="32"/>
        </w:rPr>
      </w:pPr>
      <w:r>
        <w:rPr>
          <w:rFonts w:eastAsia="黑体"/>
          <w:color w:val="000000"/>
          <w:sz w:val="32"/>
          <w:szCs w:val="32"/>
        </w:rPr>
        <w:t>附件</w:t>
      </w:r>
      <w:r>
        <w:rPr>
          <w:rFonts w:hint="eastAsia" w:eastAsia="黑体"/>
          <w:color w:val="000000"/>
          <w:sz w:val="32"/>
          <w:szCs w:val="32"/>
          <w:lang w:val="en-US" w:eastAsia="zh-CN"/>
        </w:rPr>
        <w:t>5</w:t>
      </w:r>
      <w:r>
        <w:rPr>
          <w:rFonts w:hint="eastAsia" w:ascii="Times New Roman" w:hAnsi="Times New Roman" w:eastAsia="仿宋_GB2312"/>
          <w:sz w:val="32"/>
          <w:szCs w:val="32"/>
          <w:lang w:bidi="ar"/>
        </w:rPr>
        <w:t>—</w:t>
      </w:r>
      <w:r>
        <w:rPr>
          <w:rFonts w:eastAsia="黑体"/>
          <w:color w:val="000000"/>
          <w:sz w:val="32"/>
          <w:szCs w:val="32"/>
        </w:rPr>
        <w:t>1</w:t>
      </w:r>
    </w:p>
    <w:p w14:paraId="3F61ED87">
      <w:pPr>
        <w:tabs>
          <w:tab w:val="left" w:pos="1800"/>
        </w:tabs>
        <w:snapToGrid w:val="0"/>
        <w:spacing w:line="560" w:lineRule="exact"/>
        <w:jc w:val="center"/>
        <w:rPr>
          <w:color w:val="000000"/>
          <w:sz w:val="44"/>
          <w:szCs w:val="44"/>
        </w:rPr>
      </w:pPr>
    </w:p>
    <w:p w14:paraId="218265DE">
      <w:pPr>
        <w:pStyle w:val="3"/>
        <w:spacing w:line="56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补充材料</w:t>
      </w:r>
    </w:p>
    <w:p w14:paraId="047BFA1C">
      <w:pPr>
        <w:pStyle w:val="3"/>
        <w:spacing w:line="560" w:lineRule="exact"/>
        <w:rPr>
          <w:color w:val="000000"/>
          <w:sz w:val="44"/>
          <w:szCs w:val="44"/>
        </w:rPr>
      </w:pPr>
    </w:p>
    <w:p w14:paraId="4A7ECC48">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一、可行性、必要性分析</w:t>
      </w:r>
    </w:p>
    <w:p w14:paraId="369BF2ED">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二、承担能力分析</w:t>
      </w:r>
    </w:p>
    <w:p w14:paraId="29AEAA9E">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三、总体目标</w:t>
      </w:r>
    </w:p>
    <w:p w14:paraId="2880714E">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四、主要内容</w:t>
      </w:r>
    </w:p>
    <w:p w14:paraId="571E04FC">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五、该领域优势</w:t>
      </w:r>
    </w:p>
    <w:p w14:paraId="0893DCB8">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六、验收考核指标</w:t>
      </w:r>
    </w:p>
    <w:p w14:paraId="5E466D81">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七、经济效益分析</w:t>
      </w:r>
    </w:p>
    <w:p w14:paraId="2949DC9E">
      <w:pPr>
        <w:spacing w:line="560" w:lineRule="exact"/>
        <w:ind w:firstLine="622"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八、社会效益分析</w:t>
      </w:r>
    </w:p>
    <w:p w14:paraId="36AEB7B5">
      <w:pPr>
        <w:pStyle w:val="3"/>
        <w:spacing w:line="560" w:lineRule="exact"/>
        <w:rPr>
          <w:rFonts w:ascii="方正小标宋简体" w:hAnsi="宋体" w:eastAsia="方正小标宋简体"/>
          <w:color w:val="000000"/>
          <w:sz w:val="44"/>
          <w:szCs w:val="44"/>
        </w:rPr>
      </w:pPr>
      <w:r>
        <w:rPr>
          <w:rFonts w:hint="eastAsia"/>
          <w:color w:val="000000"/>
        </w:rPr>
        <w:br w:type="page"/>
      </w:r>
      <w:r>
        <w:rPr>
          <w:rFonts w:hint="eastAsia" w:ascii="方正小标宋简体" w:hAnsi="宋体" w:eastAsia="方正小标宋简体"/>
          <w:color w:val="000000"/>
          <w:sz w:val="44"/>
          <w:szCs w:val="44"/>
        </w:rPr>
        <w:t>项目资金预算总表</w:t>
      </w:r>
    </w:p>
    <w:p w14:paraId="73135A40">
      <w:pPr>
        <w:adjustRightInd w:val="0"/>
        <w:snapToGrid w:val="0"/>
        <w:ind w:left="6933" w:hanging="6933"/>
        <w:rPr>
          <w:rFonts w:ascii="黑体"/>
          <w:color w:val="000000"/>
          <w:sz w:val="30"/>
        </w:rPr>
      </w:pPr>
      <w:r>
        <w:rPr>
          <w:color w:val="000000"/>
          <w:sz w:val="30"/>
        </w:rPr>
        <w:t xml:space="preserve">                        </w:t>
      </w:r>
      <w:r>
        <w:rPr>
          <w:rFonts w:ascii="黑体"/>
          <w:color w:val="000000"/>
          <w:sz w:val="30"/>
        </w:rPr>
        <w:t xml:space="preserve">                      </w:t>
      </w:r>
      <w:r>
        <w:rPr>
          <w:rFonts w:hint="eastAsia" w:ascii="仿宋_GB2312" w:hAnsi="宋体" w:eastAsia="仿宋_GB2312"/>
          <w:color w:val="000000"/>
          <w:sz w:val="24"/>
        </w:rPr>
        <w:t>单位：万元</w:t>
      </w:r>
    </w:p>
    <w:tbl>
      <w:tblPr>
        <w:tblStyle w:val="11"/>
        <w:tblW w:w="0" w:type="auto"/>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2574"/>
        <w:gridCol w:w="1352"/>
        <w:gridCol w:w="1348"/>
        <w:gridCol w:w="1232"/>
        <w:gridCol w:w="1311"/>
        <w:gridCol w:w="1193"/>
      </w:tblGrid>
      <w:tr w14:paraId="392AD04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vMerge w:val="restart"/>
            <w:tcBorders>
              <w:top w:val="single" w:color="auto" w:sz="4" w:space="0"/>
              <w:left w:val="single" w:color="auto" w:sz="4" w:space="0"/>
            </w:tcBorders>
            <w:noWrap w:val="0"/>
            <w:vAlign w:val="center"/>
          </w:tcPr>
          <w:p w14:paraId="0BD81856">
            <w:pPr>
              <w:keepNext w:val="0"/>
              <w:keepLines w:val="0"/>
              <w:suppressLineNumbers w:val="0"/>
              <w:adjustRightInd w:val="0"/>
              <w:spacing w:before="0" w:beforeAutospacing="0" w:after="0" w:afterAutospacing="0" w:line="440" w:lineRule="exact"/>
              <w:ind w:left="0" w:right="0"/>
              <w:jc w:val="center"/>
              <w:rPr>
                <w:rFonts w:hint="default" w:ascii="仿宋_GB2312" w:hAnsi="Times New Roman" w:eastAsia="仿宋_GB2312" w:cs="Times New Roman"/>
                <w:b/>
                <w:bCs/>
                <w:color w:val="000000"/>
                <w:sz w:val="24"/>
              </w:rPr>
            </w:pPr>
            <w:r>
              <w:rPr>
                <w:rFonts w:hint="eastAsia" w:ascii="仿宋_GB2312" w:hAnsi="Times New Roman" w:eastAsia="仿宋_GB2312" w:cs="Times New Roman"/>
                <w:b/>
                <w:bCs/>
                <w:color w:val="000000"/>
                <w:sz w:val="24"/>
              </w:rPr>
              <w:t>资金来源预算</w:t>
            </w:r>
          </w:p>
        </w:tc>
        <w:tc>
          <w:tcPr>
            <w:tcW w:w="1352" w:type="dxa"/>
            <w:vMerge w:val="restart"/>
            <w:tcBorders>
              <w:top w:val="single" w:color="auto" w:sz="4" w:space="0"/>
            </w:tcBorders>
            <w:noWrap w:val="0"/>
            <w:vAlign w:val="center"/>
          </w:tcPr>
          <w:p w14:paraId="206727FE">
            <w:pPr>
              <w:keepNext w:val="0"/>
              <w:keepLines w:val="0"/>
              <w:suppressLineNumbers w:val="0"/>
              <w:adjustRightInd w:val="0"/>
              <w:spacing w:before="0" w:beforeAutospacing="0" w:after="0" w:afterAutospacing="0" w:line="440" w:lineRule="exact"/>
              <w:ind w:left="0" w:right="0"/>
              <w:jc w:val="center"/>
              <w:rPr>
                <w:rFonts w:hint="default" w:ascii="仿宋_GB2312" w:hAnsi="Times New Roman" w:eastAsia="仿宋_GB2312" w:cs="Times New Roman"/>
                <w:b/>
                <w:bCs/>
                <w:color w:val="000000"/>
                <w:sz w:val="24"/>
              </w:rPr>
            </w:pPr>
            <w:r>
              <w:rPr>
                <w:rFonts w:hint="eastAsia" w:ascii="仿宋_GB2312" w:hAnsi="Times New Roman" w:eastAsia="仿宋_GB2312" w:cs="Times New Roman"/>
                <w:b/>
                <w:bCs/>
                <w:color w:val="000000"/>
                <w:sz w:val="24"/>
              </w:rPr>
              <w:t>预算金额</w:t>
            </w:r>
          </w:p>
        </w:tc>
        <w:tc>
          <w:tcPr>
            <w:tcW w:w="5084" w:type="dxa"/>
            <w:gridSpan w:val="4"/>
            <w:tcBorders>
              <w:top w:val="single" w:color="auto" w:sz="4" w:space="0"/>
              <w:right w:val="single" w:color="auto" w:sz="4" w:space="0"/>
            </w:tcBorders>
            <w:noWrap w:val="0"/>
            <w:vAlign w:val="center"/>
          </w:tcPr>
          <w:p w14:paraId="156CA1A6">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color w:val="000000"/>
                <w:sz w:val="24"/>
              </w:rPr>
            </w:pPr>
            <w:r>
              <w:rPr>
                <w:rFonts w:hint="eastAsia" w:ascii="仿宋_GB2312" w:hAnsi="Times New Roman" w:eastAsia="仿宋_GB2312" w:cs="Times New Roman"/>
                <w:b/>
                <w:color w:val="000000"/>
                <w:sz w:val="24"/>
              </w:rPr>
              <w:t>其中</w:t>
            </w:r>
          </w:p>
        </w:tc>
      </w:tr>
      <w:tr w14:paraId="5C9AA0D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vMerge w:val="continue"/>
            <w:tcBorders>
              <w:left w:val="single" w:color="auto" w:sz="4" w:space="0"/>
            </w:tcBorders>
            <w:noWrap w:val="0"/>
            <w:vAlign w:val="top"/>
          </w:tcPr>
          <w:p w14:paraId="61F5711E">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b/>
                <w:color w:val="000000"/>
                <w:sz w:val="24"/>
              </w:rPr>
            </w:pPr>
          </w:p>
        </w:tc>
        <w:tc>
          <w:tcPr>
            <w:tcW w:w="1352" w:type="dxa"/>
            <w:vMerge w:val="continue"/>
            <w:noWrap w:val="0"/>
            <w:vAlign w:val="center"/>
          </w:tcPr>
          <w:p w14:paraId="1274A2DA">
            <w:pPr>
              <w:keepNext w:val="0"/>
              <w:keepLines w:val="0"/>
              <w:suppressLineNumbers w:val="0"/>
              <w:adjustRightInd w:val="0"/>
              <w:spacing w:before="0" w:beforeAutospacing="0" w:after="0" w:afterAutospacing="0" w:line="440" w:lineRule="exact"/>
              <w:ind w:left="0" w:right="0"/>
              <w:jc w:val="center"/>
              <w:rPr>
                <w:rFonts w:hint="default" w:ascii="仿宋_GB2312" w:hAnsi="Times New Roman" w:eastAsia="仿宋_GB2312" w:cs="Times New Roman"/>
                <w:b/>
                <w:color w:val="000000"/>
                <w:sz w:val="24"/>
              </w:rPr>
            </w:pPr>
          </w:p>
        </w:tc>
        <w:tc>
          <w:tcPr>
            <w:tcW w:w="1348" w:type="dxa"/>
            <w:noWrap w:val="0"/>
            <w:vAlign w:val="center"/>
          </w:tcPr>
          <w:p w14:paraId="67AA19C0">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color w:val="000000"/>
                <w:sz w:val="24"/>
              </w:rPr>
            </w:pPr>
            <w:r>
              <w:rPr>
                <w:rFonts w:hint="default" w:ascii="仿宋_GB2312" w:hAnsi="Times New Roman" w:eastAsia="仿宋_GB2312" w:cs="Times New Roman"/>
                <w:b/>
                <w:color w:val="000000"/>
                <w:sz w:val="24"/>
              </w:rPr>
              <w:t>年</w:t>
            </w:r>
          </w:p>
        </w:tc>
        <w:tc>
          <w:tcPr>
            <w:tcW w:w="1232" w:type="dxa"/>
            <w:noWrap w:val="0"/>
            <w:vAlign w:val="center"/>
          </w:tcPr>
          <w:p w14:paraId="0B91D576">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color w:val="000000"/>
                <w:sz w:val="24"/>
              </w:rPr>
            </w:pPr>
            <w:r>
              <w:rPr>
                <w:rFonts w:hint="default" w:ascii="仿宋_GB2312" w:hAnsi="Times New Roman" w:eastAsia="仿宋_GB2312" w:cs="Times New Roman"/>
                <w:b/>
                <w:color w:val="000000"/>
                <w:sz w:val="24"/>
              </w:rPr>
              <w:t>年</w:t>
            </w:r>
          </w:p>
        </w:tc>
        <w:tc>
          <w:tcPr>
            <w:tcW w:w="1311" w:type="dxa"/>
            <w:noWrap w:val="0"/>
            <w:vAlign w:val="center"/>
          </w:tcPr>
          <w:p w14:paraId="780D8C2D">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color w:val="000000"/>
                <w:sz w:val="24"/>
              </w:rPr>
            </w:pPr>
            <w:r>
              <w:rPr>
                <w:rFonts w:hint="default" w:ascii="仿宋_GB2312" w:hAnsi="Times New Roman" w:eastAsia="仿宋_GB2312" w:cs="Times New Roman"/>
                <w:b/>
                <w:color w:val="000000"/>
                <w:sz w:val="24"/>
              </w:rPr>
              <w:t>年</w:t>
            </w:r>
          </w:p>
        </w:tc>
        <w:tc>
          <w:tcPr>
            <w:tcW w:w="1193" w:type="dxa"/>
            <w:tcBorders>
              <w:right w:val="single" w:color="auto" w:sz="4" w:space="0"/>
            </w:tcBorders>
            <w:noWrap w:val="0"/>
            <w:vAlign w:val="center"/>
          </w:tcPr>
          <w:p w14:paraId="3F21B7C8">
            <w:pPr>
              <w:keepNext w:val="0"/>
              <w:keepLines w:val="0"/>
              <w:suppressLineNumbers w:val="0"/>
              <w:spacing w:before="0" w:beforeAutospacing="0" w:after="0" w:afterAutospacing="0" w:line="440" w:lineRule="exact"/>
              <w:ind w:left="0" w:right="0"/>
              <w:jc w:val="right"/>
              <w:rPr>
                <w:rFonts w:hint="default" w:ascii="仿宋_GB2312" w:hAnsi="Times New Roman" w:eastAsia="仿宋_GB2312" w:cs="Times New Roman"/>
                <w:b/>
                <w:color w:val="000000"/>
                <w:sz w:val="24"/>
              </w:rPr>
            </w:pPr>
            <w:r>
              <w:rPr>
                <w:rFonts w:hint="default" w:ascii="仿宋_GB2312" w:hAnsi="Times New Roman" w:eastAsia="仿宋_GB2312" w:cs="Times New Roman"/>
                <w:b/>
                <w:color w:val="000000"/>
                <w:sz w:val="24"/>
              </w:rPr>
              <w:t>年</w:t>
            </w:r>
          </w:p>
        </w:tc>
      </w:tr>
      <w:tr w14:paraId="40527C3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0E443A21">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投资总额</w:t>
            </w:r>
          </w:p>
        </w:tc>
        <w:tc>
          <w:tcPr>
            <w:tcW w:w="1352" w:type="dxa"/>
            <w:noWrap w:val="0"/>
            <w:vAlign w:val="top"/>
          </w:tcPr>
          <w:p w14:paraId="5D029DC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center"/>
          </w:tcPr>
          <w:p w14:paraId="704CEC01">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232" w:type="dxa"/>
            <w:noWrap w:val="0"/>
            <w:vAlign w:val="center"/>
          </w:tcPr>
          <w:p w14:paraId="1599C3C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11" w:type="dxa"/>
            <w:noWrap w:val="0"/>
            <w:vAlign w:val="center"/>
          </w:tcPr>
          <w:p w14:paraId="09D3844E">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193" w:type="dxa"/>
            <w:tcBorders>
              <w:right w:val="single" w:color="auto" w:sz="4" w:space="0"/>
            </w:tcBorders>
            <w:noWrap w:val="0"/>
            <w:vAlign w:val="center"/>
          </w:tcPr>
          <w:p w14:paraId="7557E7F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r>
      <w:tr w14:paraId="0ABC91A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0DB682D2">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其中：单位自筹</w:t>
            </w:r>
          </w:p>
        </w:tc>
        <w:tc>
          <w:tcPr>
            <w:tcW w:w="1352" w:type="dxa"/>
            <w:noWrap w:val="0"/>
            <w:vAlign w:val="top"/>
          </w:tcPr>
          <w:p w14:paraId="1CE5122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center"/>
          </w:tcPr>
          <w:p w14:paraId="0B98A9F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232" w:type="dxa"/>
            <w:noWrap w:val="0"/>
            <w:vAlign w:val="center"/>
          </w:tcPr>
          <w:p w14:paraId="61F3EEC0">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11" w:type="dxa"/>
            <w:noWrap w:val="0"/>
            <w:vAlign w:val="center"/>
          </w:tcPr>
          <w:p w14:paraId="78EC26F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193" w:type="dxa"/>
            <w:tcBorders>
              <w:right w:val="single" w:color="auto" w:sz="4" w:space="0"/>
            </w:tcBorders>
            <w:noWrap w:val="0"/>
            <w:vAlign w:val="center"/>
          </w:tcPr>
          <w:p w14:paraId="3089A45A">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r>
      <w:tr w14:paraId="251F6FD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040AEBBC">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融资额</w:t>
            </w:r>
          </w:p>
        </w:tc>
        <w:tc>
          <w:tcPr>
            <w:tcW w:w="1352" w:type="dxa"/>
            <w:noWrap w:val="0"/>
            <w:vAlign w:val="top"/>
          </w:tcPr>
          <w:p w14:paraId="19BBCDE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center"/>
          </w:tcPr>
          <w:p w14:paraId="27B2BDE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232" w:type="dxa"/>
            <w:noWrap w:val="0"/>
            <w:vAlign w:val="center"/>
          </w:tcPr>
          <w:p w14:paraId="136E923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11" w:type="dxa"/>
            <w:noWrap w:val="0"/>
            <w:vAlign w:val="center"/>
          </w:tcPr>
          <w:p w14:paraId="5BD518CE">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193" w:type="dxa"/>
            <w:tcBorders>
              <w:right w:val="single" w:color="auto" w:sz="4" w:space="0"/>
            </w:tcBorders>
            <w:noWrap w:val="0"/>
            <w:vAlign w:val="center"/>
          </w:tcPr>
          <w:p w14:paraId="66941662">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r>
      <w:tr w14:paraId="736B96A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32BC17B2">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申请专项资金</w:t>
            </w:r>
          </w:p>
        </w:tc>
        <w:tc>
          <w:tcPr>
            <w:tcW w:w="1352" w:type="dxa"/>
            <w:noWrap w:val="0"/>
            <w:vAlign w:val="top"/>
          </w:tcPr>
          <w:p w14:paraId="1DAC60D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0ACA133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232" w:type="dxa"/>
            <w:noWrap w:val="0"/>
            <w:vAlign w:val="top"/>
          </w:tcPr>
          <w:p w14:paraId="5FDA853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11" w:type="dxa"/>
            <w:noWrap w:val="0"/>
            <w:vAlign w:val="top"/>
          </w:tcPr>
          <w:p w14:paraId="249B7DE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193" w:type="dxa"/>
            <w:tcBorders>
              <w:right w:val="single" w:color="auto" w:sz="4" w:space="0"/>
            </w:tcBorders>
            <w:noWrap w:val="0"/>
            <w:vAlign w:val="top"/>
          </w:tcPr>
          <w:p w14:paraId="1BC20940">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r>
      <w:tr w14:paraId="75AA9CF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2E4BD827">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其他财政配套</w:t>
            </w:r>
          </w:p>
        </w:tc>
        <w:tc>
          <w:tcPr>
            <w:tcW w:w="1352" w:type="dxa"/>
            <w:noWrap w:val="0"/>
            <w:vAlign w:val="top"/>
          </w:tcPr>
          <w:p w14:paraId="519E69D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1394E04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232" w:type="dxa"/>
            <w:noWrap w:val="0"/>
            <w:vAlign w:val="top"/>
          </w:tcPr>
          <w:p w14:paraId="117E015A">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11" w:type="dxa"/>
            <w:noWrap w:val="0"/>
            <w:vAlign w:val="top"/>
          </w:tcPr>
          <w:p w14:paraId="3E38F2FC">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193" w:type="dxa"/>
            <w:tcBorders>
              <w:right w:val="single" w:color="auto" w:sz="4" w:space="0"/>
            </w:tcBorders>
            <w:noWrap w:val="0"/>
            <w:vAlign w:val="top"/>
          </w:tcPr>
          <w:p w14:paraId="75AACF4E">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r>
      <w:tr w14:paraId="33E84C8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2B853286">
            <w:pPr>
              <w:keepNext w:val="0"/>
              <w:keepLines w:val="0"/>
              <w:suppressLineNumbers w:val="0"/>
              <w:spacing w:before="0" w:beforeAutospacing="0" w:after="0" w:afterAutospacing="0" w:line="440" w:lineRule="exact"/>
              <w:ind w:left="0" w:right="0" w:firstLine="693" w:firstLineChars="300"/>
              <w:rPr>
                <w:rFonts w:hint="default" w:ascii="仿宋_GB2312" w:hAnsi="Times New Roman" w:eastAsia="仿宋_GB2312" w:cs="Times New Roman"/>
                <w:color w:val="000000"/>
                <w:sz w:val="24"/>
              </w:rPr>
            </w:pPr>
            <w:r>
              <w:rPr>
                <w:rFonts w:hint="eastAsia" w:ascii="仿宋_GB2312" w:eastAsia="仿宋_GB2312" w:cs="Times New Roman"/>
                <w:color w:val="000000"/>
                <w:sz w:val="24"/>
                <w:lang w:eastAsia="zh-CN"/>
              </w:rPr>
              <w:t>其他</w:t>
            </w:r>
          </w:p>
        </w:tc>
        <w:tc>
          <w:tcPr>
            <w:tcW w:w="1352" w:type="dxa"/>
            <w:noWrap w:val="0"/>
            <w:vAlign w:val="top"/>
          </w:tcPr>
          <w:p w14:paraId="4893AF6F">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56ED830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232" w:type="dxa"/>
            <w:noWrap w:val="0"/>
            <w:vAlign w:val="top"/>
          </w:tcPr>
          <w:p w14:paraId="04FC119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11" w:type="dxa"/>
            <w:noWrap w:val="0"/>
            <w:vAlign w:val="top"/>
          </w:tcPr>
          <w:p w14:paraId="1B429054">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193" w:type="dxa"/>
            <w:tcBorders>
              <w:right w:val="single" w:color="auto" w:sz="4" w:space="0"/>
            </w:tcBorders>
            <w:noWrap w:val="0"/>
            <w:vAlign w:val="top"/>
          </w:tcPr>
          <w:p w14:paraId="3D19117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r>
      <w:tr w14:paraId="2DF7364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top w:val="single" w:color="auto" w:sz="4" w:space="0"/>
              <w:left w:val="single" w:color="auto" w:sz="4" w:space="0"/>
              <w:bottom w:val="single" w:color="auto" w:sz="4" w:space="0"/>
            </w:tcBorders>
            <w:noWrap w:val="0"/>
            <w:vAlign w:val="center"/>
          </w:tcPr>
          <w:p w14:paraId="7BD05B94">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color w:val="000000"/>
                <w:sz w:val="24"/>
              </w:rPr>
            </w:pPr>
            <w:r>
              <w:rPr>
                <w:rFonts w:hint="eastAsia" w:ascii="仿宋_GB2312" w:hAnsi="Times New Roman" w:eastAsia="仿宋_GB2312" w:cs="Times New Roman"/>
                <w:b/>
                <w:color w:val="000000"/>
                <w:sz w:val="24"/>
              </w:rPr>
              <w:t>资金支出预算</w:t>
            </w:r>
          </w:p>
        </w:tc>
        <w:tc>
          <w:tcPr>
            <w:tcW w:w="1352" w:type="dxa"/>
            <w:tcBorders>
              <w:top w:val="single" w:color="auto" w:sz="4" w:space="0"/>
              <w:bottom w:val="single" w:color="auto" w:sz="4" w:space="0"/>
            </w:tcBorders>
            <w:noWrap w:val="0"/>
            <w:vAlign w:val="center"/>
          </w:tcPr>
          <w:p w14:paraId="0D7239A7">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color w:val="000000"/>
                <w:sz w:val="24"/>
              </w:rPr>
            </w:pPr>
            <w:r>
              <w:rPr>
                <w:rFonts w:hint="eastAsia" w:ascii="仿宋_GB2312" w:hAnsi="Times New Roman" w:eastAsia="仿宋_GB2312" w:cs="Times New Roman"/>
                <w:b/>
                <w:color w:val="000000"/>
                <w:sz w:val="24"/>
              </w:rPr>
              <w:t>预算金额</w:t>
            </w:r>
          </w:p>
        </w:tc>
        <w:tc>
          <w:tcPr>
            <w:tcW w:w="1348" w:type="dxa"/>
            <w:tcBorders>
              <w:top w:val="single" w:color="auto" w:sz="4" w:space="0"/>
              <w:bottom w:val="single" w:color="auto" w:sz="4" w:space="0"/>
            </w:tcBorders>
            <w:noWrap w:val="0"/>
            <w:vAlign w:val="center"/>
          </w:tcPr>
          <w:p w14:paraId="1BF2BD4B">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color w:val="000000"/>
                <w:sz w:val="24"/>
              </w:rPr>
            </w:pPr>
            <w:r>
              <w:rPr>
                <w:rFonts w:hint="eastAsia" w:ascii="仿宋_GB2312" w:hAnsi="Times New Roman" w:eastAsia="仿宋_GB2312" w:cs="Times New Roman"/>
                <w:b/>
                <w:color w:val="000000"/>
                <w:sz w:val="24"/>
              </w:rPr>
              <w:t>其中：申请专项资金</w:t>
            </w:r>
          </w:p>
        </w:tc>
        <w:tc>
          <w:tcPr>
            <w:tcW w:w="3736" w:type="dxa"/>
            <w:gridSpan w:val="3"/>
            <w:tcBorders>
              <w:top w:val="single" w:color="auto" w:sz="4" w:space="0"/>
              <w:bottom w:val="single" w:color="auto" w:sz="4" w:space="0"/>
              <w:right w:val="single" w:color="auto" w:sz="4" w:space="0"/>
            </w:tcBorders>
            <w:noWrap w:val="0"/>
            <w:vAlign w:val="center"/>
          </w:tcPr>
          <w:p w14:paraId="535E2CFA">
            <w:pPr>
              <w:keepNext w:val="0"/>
              <w:keepLines w:val="0"/>
              <w:suppressLineNumbers w:val="0"/>
              <w:spacing w:before="0" w:beforeAutospacing="0" w:after="0" w:afterAutospacing="0" w:line="440" w:lineRule="exact"/>
              <w:ind w:left="0" w:right="0"/>
              <w:jc w:val="center"/>
              <w:rPr>
                <w:rFonts w:hint="default" w:ascii="仿宋_GB2312" w:hAnsi="Times New Roman" w:eastAsia="仿宋_GB2312" w:cs="Times New Roman"/>
                <w:b/>
                <w:color w:val="000000"/>
                <w:sz w:val="24"/>
              </w:rPr>
            </w:pPr>
            <w:r>
              <w:rPr>
                <w:rFonts w:hint="eastAsia" w:ascii="仿宋_GB2312" w:hAnsi="Times New Roman" w:eastAsia="仿宋_GB2312" w:cs="Times New Roman"/>
                <w:b/>
                <w:color w:val="000000"/>
                <w:sz w:val="24"/>
              </w:rPr>
              <w:t>计算依据</w:t>
            </w:r>
          </w:p>
        </w:tc>
      </w:tr>
      <w:tr w14:paraId="666C487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6DCF3A76">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合计</w:t>
            </w:r>
          </w:p>
        </w:tc>
        <w:tc>
          <w:tcPr>
            <w:tcW w:w="1352" w:type="dxa"/>
            <w:noWrap w:val="0"/>
            <w:vAlign w:val="top"/>
          </w:tcPr>
          <w:p w14:paraId="4C7E788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79FEAFB1">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6471BF0A">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15775AF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17D89E0E">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设备购置及安装费</w:t>
            </w:r>
          </w:p>
        </w:tc>
        <w:tc>
          <w:tcPr>
            <w:tcW w:w="1352" w:type="dxa"/>
            <w:noWrap w:val="0"/>
            <w:vAlign w:val="top"/>
          </w:tcPr>
          <w:p w14:paraId="7F892F17">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07720F2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2EAF8667">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2282F50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749A9F01">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设备租赁费</w:t>
            </w:r>
          </w:p>
        </w:tc>
        <w:tc>
          <w:tcPr>
            <w:tcW w:w="1352" w:type="dxa"/>
            <w:noWrap w:val="0"/>
            <w:vAlign w:val="top"/>
          </w:tcPr>
          <w:p w14:paraId="2F74054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15EF605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1BBC6967">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543E9A5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20B7ACF8">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测试加工费</w:t>
            </w:r>
          </w:p>
        </w:tc>
        <w:tc>
          <w:tcPr>
            <w:tcW w:w="1352" w:type="dxa"/>
            <w:noWrap w:val="0"/>
            <w:vAlign w:val="top"/>
          </w:tcPr>
          <w:p w14:paraId="2F68756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0F66F10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3C794045">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6453296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7F5CE0C4">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软件开发费</w:t>
            </w:r>
          </w:p>
        </w:tc>
        <w:tc>
          <w:tcPr>
            <w:tcW w:w="1352" w:type="dxa"/>
            <w:noWrap w:val="0"/>
            <w:vAlign w:val="top"/>
          </w:tcPr>
          <w:p w14:paraId="18D68FE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255239EB">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77296CEA">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57F42B8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0B34296C">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网络租赁费</w:t>
            </w:r>
          </w:p>
        </w:tc>
        <w:tc>
          <w:tcPr>
            <w:tcW w:w="1352" w:type="dxa"/>
            <w:noWrap w:val="0"/>
            <w:vAlign w:val="top"/>
          </w:tcPr>
          <w:p w14:paraId="7315184A">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4120F250">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7296405A">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136218B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44353A57">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云服务购置费</w:t>
            </w:r>
          </w:p>
        </w:tc>
        <w:tc>
          <w:tcPr>
            <w:tcW w:w="1352" w:type="dxa"/>
            <w:noWrap w:val="0"/>
            <w:vAlign w:val="top"/>
          </w:tcPr>
          <w:p w14:paraId="4B2FE7B6">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06C87715">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3D884C17">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0A3BC7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041598A4">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系统集成、监理及实施费</w:t>
            </w:r>
          </w:p>
        </w:tc>
        <w:tc>
          <w:tcPr>
            <w:tcW w:w="1352" w:type="dxa"/>
            <w:noWrap w:val="0"/>
            <w:vAlign w:val="top"/>
          </w:tcPr>
          <w:p w14:paraId="01DB5E88">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5B54A0C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3910EB03">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385961F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169A39F3">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专利、知识产权购买费</w:t>
            </w:r>
          </w:p>
        </w:tc>
        <w:tc>
          <w:tcPr>
            <w:tcW w:w="1352" w:type="dxa"/>
            <w:noWrap w:val="0"/>
            <w:vAlign w:val="top"/>
          </w:tcPr>
          <w:p w14:paraId="2CF514AE">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080556A3">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15A108E9">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5379425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7D0CC671">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能源材料费</w:t>
            </w:r>
          </w:p>
        </w:tc>
        <w:tc>
          <w:tcPr>
            <w:tcW w:w="1352" w:type="dxa"/>
            <w:noWrap w:val="0"/>
            <w:vAlign w:val="top"/>
          </w:tcPr>
          <w:p w14:paraId="04E06C6D">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052A2400">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337B78AC">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18C922C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624793DB">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hAnsi="Times New Roman" w:eastAsia="仿宋_GB2312" w:cs="Times New Roman"/>
                <w:color w:val="000000"/>
                <w:sz w:val="24"/>
              </w:rPr>
              <w:t>人员、研发费</w:t>
            </w:r>
          </w:p>
        </w:tc>
        <w:tc>
          <w:tcPr>
            <w:tcW w:w="1352" w:type="dxa"/>
            <w:noWrap w:val="0"/>
            <w:vAlign w:val="top"/>
          </w:tcPr>
          <w:p w14:paraId="79B3B7F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1E893F1A">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67FC8888">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1CA6A94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tcBorders>
            <w:noWrap w:val="0"/>
            <w:vAlign w:val="center"/>
          </w:tcPr>
          <w:p w14:paraId="400B54D0">
            <w:pPr>
              <w:keepNext w:val="0"/>
              <w:keepLines w:val="0"/>
              <w:suppressLineNumbers w:val="0"/>
              <w:spacing w:before="0" w:beforeAutospacing="0" w:after="0" w:afterAutospacing="0" w:line="440" w:lineRule="exact"/>
              <w:ind w:left="0" w:right="0"/>
              <w:rPr>
                <w:rFonts w:hint="default" w:ascii="仿宋_GB2312" w:hAnsi="Times New Roman" w:eastAsia="仿宋_GB2312" w:cs="Times New Roman"/>
                <w:color w:val="000000"/>
                <w:sz w:val="24"/>
              </w:rPr>
            </w:pPr>
            <w:r>
              <w:rPr>
                <w:rFonts w:hint="eastAsia" w:ascii="仿宋_GB2312" w:eastAsia="仿宋_GB2312" w:cs="Times New Roman"/>
                <w:color w:val="000000"/>
                <w:sz w:val="24"/>
                <w:lang w:val="en-US" w:eastAsia="zh-CN"/>
              </w:rPr>
              <w:t>其他</w:t>
            </w:r>
            <w:r>
              <w:rPr>
                <w:rFonts w:hint="eastAsia" w:ascii="仿宋_GB2312" w:hAnsi="Times New Roman" w:eastAsia="仿宋_GB2312" w:cs="Times New Roman"/>
                <w:color w:val="000000"/>
                <w:sz w:val="24"/>
              </w:rPr>
              <w:t>费用</w:t>
            </w:r>
          </w:p>
        </w:tc>
        <w:tc>
          <w:tcPr>
            <w:tcW w:w="1352" w:type="dxa"/>
            <w:noWrap w:val="0"/>
            <w:vAlign w:val="top"/>
          </w:tcPr>
          <w:p w14:paraId="7C6D1A19">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noWrap w:val="0"/>
            <w:vAlign w:val="top"/>
          </w:tcPr>
          <w:p w14:paraId="23FCBF02">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right w:val="single" w:color="auto" w:sz="4" w:space="0"/>
            </w:tcBorders>
            <w:noWrap w:val="0"/>
            <w:vAlign w:val="top"/>
          </w:tcPr>
          <w:p w14:paraId="0FA86E73">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r w14:paraId="3C1731E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jc w:val="center"/>
        </w:trPr>
        <w:tc>
          <w:tcPr>
            <w:tcW w:w="2574" w:type="dxa"/>
            <w:tcBorders>
              <w:left w:val="single" w:color="auto" w:sz="4" w:space="0"/>
              <w:bottom w:val="single" w:color="auto" w:sz="12" w:space="0"/>
            </w:tcBorders>
            <w:noWrap w:val="0"/>
            <w:vAlign w:val="center"/>
          </w:tcPr>
          <w:p w14:paraId="58D7118A">
            <w:pPr>
              <w:keepNext w:val="0"/>
              <w:keepLines w:val="0"/>
              <w:suppressLineNumbers w:val="0"/>
              <w:spacing w:before="0" w:beforeAutospacing="0" w:after="0" w:afterAutospacing="0" w:line="440" w:lineRule="exact"/>
              <w:ind w:left="0" w:right="0"/>
              <w:rPr>
                <w:rFonts w:hint="default" w:ascii="仿宋" w:hAnsi="仿宋" w:eastAsia="仿宋" w:cs="Times New Roman"/>
                <w:color w:val="000000"/>
                <w:szCs w:val="21"/>
              </w:rPr>
            </w:pPr>
          </w:p>
        </w:tc>
        <w:tc>
          <w:tcPr>
            <w:tcW w:w="1352" w:type="dxa"/>
            <w:tcBorders>
              <w:bottom w:val="single" w:color="auto" w:sz="12" w:space="0"/>
            </w:tcBorders>
            <w:noWrap w:val="0"/>
            <w:vAlign w:val="top"/>
          </w:tcPr>
          <w:p w14:paraId="1B83589C">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1348" w:type="dxa"/>
            <w:tcBorders>
              <w:bottom w:val="single" w:color="auto" w:sz="12" w:space="0"/>
            </w:tcBorders>
            <w:noWrap w:val="0"/>
            <w:vAlign w:val="top"/>
          </w:tcPr>
          <w:p w14:paraId="15BD9C0C">
            <w:pPr>
              <w:keepNext w:val="0"/>
              <w:keepLines w:val="0"/>
              <w:suppressLineNumbers w:val="0"/>
              <w:adjustRightInd w:val="0"/>
              <w:spacing w:before="0" w:beforeAutospacing="0" w:after="0" w:afterAutospacing="0" w:line="440" w:lineRule="exact"/>
              <w:ind w:left="0" w:right="0"/>
              <w:jc w:val="right"/>
              <w:rPr>
                <w:rFonts w:hint="default" w:ascii="仿宋_GB2312" w:hAnsi="Times New Roman" w:eastAsia="仿宋_GB2312" w:cs="Times New Roman"/>
                <w:color w:val="000000"/>
                <w:sz w:val="24"/>
              </w:rPr>
            </w:pPr>
          </w:p>
        </w:tc>
        <w:tc>
          <w:tcPr>
            <w:tcW w:w="3736" w:type="dxa"/>
            <w:gridSpan w:val="3"/>
            <w:tcBorders>
              <w:bottom w:val="single" w:color="auto" w:sz="12" w:space="0"/>
              <w:right w:val="single" w:color="auto" w:sz="4" w:space="0"/>
            </w:tcBorders>
            <w:noWrap w:val="0"/>
            <w:vAlign w:val="top"/>
          </w:tcPr>
          <w:p w14:paraId="1C9E84FF">
            <w:pPr>
              <w:keepNext w:val="0"/>
              <w:keepLines w:val="0"/>
              <w:suppressLineNumbers w:val="0"/>
              <w:adjustRightInd w:val="0"/>
              <w:spacing w:before="0" w:beforeAutospacing="0" w:after="0" w:afterAutospacing="0" w:line="440" w:lineRule="exact"/>
              <w:ind w:left="0" w:right="0"/>
              <w:rPr>
                <w:rFonts w:hint="default" w:ascii="仿宋_GB2312" w:hAnsi="Times New Roman" w:eastAsia="仿宋_GB2312" w:cs="Times New Roman"/>
                <w:color w:val="000000"/>
                <w:sz w:val="24"/>
              </w:rPr>
            </w:pPr>
          </w:p>
        </w:tc>
      </w:tr>
    </w:tbl>
    <w:p w14:paraId="791E6E01">
      <w:pPr>
        <w:rPr>
          <w:rFonts w:hint="eastAsia"/>
        </w:rPr>
      </w:pPr>
    </w:p>
    <w:sectPr>
      <w:footerReference r:id="rId3" w:type="default"/>
      <w:pgSz w:w="11906" w:h="16838"/>
      <w:pgMar w:top="2098" w:right="1474" w:bottom="1985" w:left="1588"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689235-416C-4A1C-AB8C-CF6665D2BD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C8F61CA-52F5-4DBA-AED9-AE2FE5835301}"/>
  </w:font>
  <w:font w:name="华文中宋">
    <w:panose1 w:val="02010600040101010101"/>
    <w:charset w:val="86"/>
    <w:family w:val="auto"/>
    <w:pitch w:val="default"/>
    <w:sig w:usb0="00000287" w:usb1="080F0000" w:usb2="00000000" w:usb3="00000000" w:csb0="0004009F" w:csb1="DFD70000"/>
  </w:font>
  <w:font w:name="Noto Sans CJK JP Regular">
    <w:altName w:val="Arial"/>
    <w:panose1 w:val="00000000000000000000"/>
    <w:charset w:val="00"/>
    <w:family w:val="swiss"/>
    <w:pitch w:val="default"/>
    <w:sig w:usb0="00000000"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embedRegular r:id="rId3" w:fontKey="{17389341-5703-4136-980E-B50DD02E9C8B}"/>
  </w:font>
  <w:font w:name="楷体_GB2312">
    <w:panose1 w:val="02010609030101010101"/>
    <w:charset w:val="86"/>
    <w:family w:val="modern"/>
    <w:pitch w:val="default"/>
    <w:sig w:usb0="00000001" w:usb1="080E0000" w:usb2="00000000" w:usb3="00000000" w:csb0="00040000" w:csb1="00000000"/>
    <w:embedRegular r:id="rId4" w:fontKey="{D56463FD-4B57-4C27-B91B-15E800DA90DF}"/>
  </w:font>
  <w:font w:name="仿宋">
    <w:panose1 w:val="02010609060101010101"/>
    <w:charset w:val="86"/>
    <w:family w:val="modern"/>
    <w:pitch w:val="default"/>
    <w:sig w:usb0="800002BF" w:usb1="38CF7CFA" w:usb2="00000016" w:usb3="00000000" w:csb0="00040001" w:csb1="00000000"/>
    <w:embedRegular r:id="rId5" w:fontKey="{7F0F5EA0-A3E6-4AC7-A4D1-C1F7A7F176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89579">
    <w:pPr>
      <w:pStyle w:val="8"/>
      <w:framePr w:w="1310" w:h="567" w:hRule="exact" w:wrap="around" w:vAnchor="page" w:hAnchor="margin" w:xAlign="outside" w:y="15140"/>
      <w:spacing w:line="280" w:lineRule="exact"/>
      <w:jc w:val="center"/>
      <w:rPr>
        <w:rStyle w:val="15"/>
        <w:rFonts w:hint="eastAsia" w:ascii="宋体" w:hAnsi="宋体"/>
        <w:sz w:val="28"/>
        <w:szCs w:val="28"/>
      </w:rPr>
    </w:pPr>
    <w:r>
      <w:rPr>
        <w:rFonts w:ascii="宋体" w:hAnsi="宋体"/>
        <w:sz w:val="28"/>
        <w:szCs w:val="28"/>
      </w:rPr>
      <w:fldChar w:fldCharType="begin"/>
    </w:r>
    <w:r>
      <w:rPr>
        <w:rStyle w:val="15"/>
        <w:rFonts w:ascii="宋体" w:hAnsi="宋体"/>
        <w:sz w:val="28"/>
        <w:szCs w:val="28"/>
      </w:rPr>
      <w:instrText xml:space="preserve">PAGE  </w:instrText>
    </w:r>
    <w:r>
      <w:rPr>
        <w:rFonts w:ascii="宋体" w:hAnsi="宋体"/>
        <w:sz w:val="28"/>
        <w:szCs w:val="28"/>
      </w:rPr>
      <w:fldChar w:fldCharType="separate"/>
    </w:r>
    <w:r>
      <w:rPr>
        <w:rStyle w:val="15"/>
        <w:rFonts w:ascii="宋体" w:hAnsi="宋体"/>
        <w:sz w:val="28"/>
        <w:szCs w:val="28"/>
      </w:rPr>
      <w:t>- 1 -</w:t>
    </w:r>
    <w:r>
      <w:rPr>
        <w:rFonts w:ascii="宋体" w:hAnsi="宋体"/>
        <w:sz w:val="28"/>
        <w:szCs w:val="28"/>
      </w:rPr>
      <w:fldChar w:fldCharType="end"/>
    </w:r>
  </w:p>
  <w:p w14:paraId="3CD574A1">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4"/>
      <w:lvlText w:val="%1"/>
      <w:lvlJc w:val="left"/>
      <w:pPr>
        <w:ind w:left="432" w:hanging="432"/>
      </w:pPr>
    </w:lvl>
    <w:lvl w:ilvl="1" w:tentative="0">
      <w:start w:val="1"/>
      <w:numFmt w:val="decimal"/>
      <w:pStyle w:val="5"/>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MTg1OTBhMGFhOTMwNDk0N2RiNTRlMmIzODkzOGIifQ=="/>
  </w:docVars>
  <w:rsids>
    <w:rsidRoot w:val="001F581A"/>
    <w:rsid w:val="00002F68"/>
    <w:rsid w:val="000050FE"/>
    <w:rsid w:val="000124A5"/>
    <w:rsid w:val="000144F3"/>
    <w:rsid w:val="00020C56"/>
    <w:rsid w:val="00023CF7"/>
    <w:rsid w:val="000300B1"/>
    <w:rsid w:val="00036B7C"/>
    <w:rsid w:val="00042724"/>
    <w:rsid w:val="00046F69"/>
    <w:rsid w:val="00047EED"/>
    <w:rsid w:val="0006656E"/>
    <w:rsid w:val="00072218"/>
    <w:rsid w:val="00083F8C"/>
    <w:rsid w:val="000A4124"/>
    <w:rsid w:val="000A4F98"/>
    <w:rsid w:val="000B6B4C"/>
    <w:rsid w:val="000C007B"/>
    <w:rsid w:val="000C1BDF"/>
    <w:rsid w:val="000D5F7A"/>
    <w:rsid w:val="001006A8"/>
    <w:rsid w:val="00100C4E"/>
    <w:rsid w:val="00102824"/>
    <w:rsid w:val="00102A79"/>
    <w:rsid w:val="00102CBA"/>
    <w:rsid w:val="001032D1"/>
    <w:rsid w:val="00107027"/>
    <w:rsid w:val="00155AB4"/>
    <w:rsid w:val="00163844"/>
    <w:rsid w:val="00166523"/>
    <w:rsid w:val="0017190E"/>
    <w:rsid w:val="00194FE5"/>
    <w:rsid w:val="001A1D0E"/>
    <w:rsid w:val="001A2DE2"/>
    <w:rsid w:val="001A6E73"/>
    <w:rsid w:val="001B77EC"/>
    <w:rsid w:val="001C4BA3"/>
    <w:rsid w:val="001D4F6B"/>
    <w:rsid w:val="001F2E84"/>
    <w:rsid w:val="001F2EED"/>
    <w:rsid w:val="001F4533"/>
    <w:rsid w:val="001F475D"/>
    <w:rsid w:val="001F581A"/>
    <w:rsid w:val="002019FE"/>
    <w:rsid w:val="00212C15"/>
    <w:rsid w:val="0021602F"/>
    <w:rsid w:val="00220D0F"/>
    <w:rsid w:val="00221052"/>
    <w:rsid w:val="00223CC7"/>
    <w:rsid w:val="00224AC8"/>
    <w:rsid w:val="00224C9C"/>
    <w:rsid w:val="002305B4"/>
    <w:rsid w:val="00236910"/>
    <w:rsid w:val="0023760D"/>
    <w:rsid w:val="00240AAF"/>
    <w:rsid w:val="00246B2A"/>
    <w:rsid w:val="00257820"/>
    <w:rsid w:val="00265288"/>
    <w:rsid w:val="00280618"/>
    <w:rsid w:val="00284EA7"/>
    <w:rsid w:val="002A0ACD"/>
    <w:rsid w:val="002A125B"/>
    <w:rsid w:val="002A49C9"/>
    <w:rsid w:val="002A56A6"/>
    <w:rsid w:val="002A7BE3"/>
    <w:rsid w:val="002C182A"/>
    <w:rsid w:val="002C284E"/>
    <w:rsid w:val="002C4980"/>
    <w:rsid w:val="002C5026"/>
    <w:rsid w:val="002E404E"/>
    <w:rsid w:val="00302117"/>
    <w:rsid w:val="00306C92"/>
    <w:rsid w:val="00307012"/>
    <w:rsid w:val="0030788E"/>
    <w:rsid w:val="00317A00"/>
    <w:rsid w:val="00324738"/>
    <w:rsid w:val="00344FFC"/>
    <w:rsid w:val="003564B8"/>
    <w:rsid w:val="00383994"/>
    <w:rsid w:val="00393686"/>
    <w:rsid w:val="0039400E"/>
    <w:rsid w:val="003A0AC9"/>
    <w:rsid w:val="003A3DA5"/>
    <w:rsid w:val="003A4D68"/>
    <w:rsid w:val="003B38AB"/>
    <w:rsid w:val="003C7E64"/>
    <w:rsid w:val="003D38DC"/>
    <w:rsid w:val="003E2B17"/>
    <w:rsid w:val="003E2E59"/>
    <w:rsid w:val="003E737B"/>
    <w:rsid w:val="003E7A69"/>
    <w:rsid w:val="003F2033"/>
    <w:rsid w:val="003F4947"/>
    <w:rsid w:val="003F680A"/>
    <w:rsid w:val="00402A6E"/>
    <w:rsid w:val="00406A66"/>
    <w:rsid w:val="00411811"/>
    <w:rsid w:val="00430BE2"/>
    <w:rsid w:val="00430C02"/>
    <w:rsid w:val="00432DCC"/>
    <w:rsid w:val="00434B00"/>
    <w:rsid w:val="0043703C"/>
    <w:rsid w:val="00437AB0"/>
    <w:rsid w:val="004405C3"/>
    <w:rsid w:val="00442A6F"/>
    <w:rsid w:val="00451077"/>
    <w:rsid w:val="0045180F"/>
    <w:rsid w:val="00454417"/>
    <w:rsid w:val="004655FB"/>
    <w:rsid w:val="0047071B"/>
    <w:rsid w:val="00470A0A"/>
    <w:rsid w:val="00475ED9"/>
    <w:rsid w:val="00485144"/>
    <w:rsid w:val="00485D82"/>
    <w:rsid w:val="0048675A"/>
    <w:rsid w:val="004A2739"/>
    <w:rsid w:val="004B0A1A"/>
    <w:rsid w:val="004B5B63"/>
    <w:rsid w:val="004C18E8"/>
    <w:rsid w:val="004C289E"/>
    <w:rsid w:val="004C3631"/>
    <w:rsid w:val="004C6787"/>
    <w:rsid w:val="004C734D"/>
    <w:rsid w:val="004D26C0"/>
    <w:rsid w:val="004E065E"/>
    <w:rsid w:val="004E3C4C"/>
    <w:rsid w:val="004F3D93"/>
    <w:rsid w:val="00506EAE"/>
    <w:rsid w:val="00507B24"/>
    <w:rsid w:val="0051205C"/>
    <w:rsid w:val="0052303E"/>
    <w:rsid w:val="00534007"/>
    <w:rsid w:val="005424A6"/>
    <w:rsid w:val="00544A54"/>
    <w:rsid w:val="0055024E"/>
    <w:rsid w:val="00560A51"/>
    <w:rsid w:val="00561059"/>
    <w:rsid w:val="0057569C"/>
    <w:rsid w:val="005813F5"/>
    <w:rsid w:val="00581C14"/>
    <w:rsid w:val="00584234"/>
    <w:rsid w:val="005844F8"/>
    <w:rsid w:val="005860B8"/>
    <w:rsid w:val="00593D74"/>
    <w:rsid w:val="005A1580"/>
    <w:rsid w:val="005A1E09"/>
    <w:rsid w:val="005A3311"/>
    <w:rsid w:val="005A332F"/>
    <w:rsid w:val="005A56F2"/>
    <w:rsid w:val="005A60B8"/>
    <w:rsid w:val="005B0BAC"/>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2E16"/>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24B90"/>
    <w:rsid w:val="00730792"/>
    <w:rsid w:val="00734B13"/>
    <w:rsid w:val="00735301"/>
    <w:rsid w:val="00736E68"/>
    <w:rsid w:val="00736EB7"/>
    <w:rsid w:val="00754CAD"/>
    <w:rsid w:val="00756732"/>
    <w:rsid w:val="007615B2"/>
    <w:rsid w:val="00763E8D"/>
    <w:rsid w:val="0076408B"/>
    <w:rsid w:val="007640B0"/>
    <w:rsid w:val="00764B1C"/>
    <w:rsid w:val="00780B93"/>
    <w:rsid w:val="00781519"/>
    <w:rsid w:val="00785815"/>
    <w:rsid w:val="00786C5F"/>
    <w:rsid w:val="007B23D9"/>
    <w:rsid w:val="007B2CD3"/>
    <w:rsid w:val="007B2D83"/>
    <w:rsid w:val="007B7B7A"/>
    <w:rsid w:val="007D1916"/>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A0CDF"/>
    <w:rsid w:val="008C1364"/>
    <w:rsid w:val="008D28D9"/>
    <w:rsid w:val="008D303B"/>
    <w:rsid w:val="008D427D"/>
    <w:rsid w:val="008E35F9"/>
    <w:rsid w:val="00901F62"/>
    <w:rsid w:val="00920F21"/>
    <w:rsid w:val="009210E4"/>
    <w:rsid w:val="0092133A"/>
    <w:rsid w:val="00934CBC"/>
    <w:rsid w:val="009412CD"/>
    <w:rsid w:val="00942CD3"/>
    <w:rsid w:val="00942D3E"/>
    <w:rsid w:val="009634C8"/>
    <w:rsid w:val="009709D5"/>
    <w:rsid w:val="0097316F"/>
    <w:rsid w:val="009760B6"/>
    <w:rsid w:val="0098720A"/>
    <w:rsid w:val="00997ACE"/>
    <w:rsid w:val="009A2F05"/>
    <w:rsid w:val="009A4F5F"/>
    <w:rsid w:val="009B117D"/>
    <w:rsid w:val="009B265E"/>
    <w:rsid w:val="009B273F"/>
    <w:rsid w:val="009B377B"/>
    <w:rsid w:val="009B62F6"/>
    <w:rsid w:val="009C28DB"/>
    <w:rsid w:val="009C2C57"/>
    <w:rsid w:val="009C635A"/>
    <w:rsid w:val="009E2BC6"/>
    <w:rsid w:val="009E44F3"/>
    <w:rsid w:val="00A13AAB"/>
    <w:rsid w:val="00A17BB1"/>
    <w:rsid w:val="00A271FD"/>
    <w:rsid w:val="00A2746E"/>
    <w:rsid w:val="00A324DD"/>
    <w:rsid w:val="00A32528"/>
    <w:rsid w:val="00A32772"/>
    <w:rsid w:val="00A33705"/>
    <w:rsid w:val="00A441EB"/>
    <w:rsid w:val="00A51E02"/>
    <w:rsid w:val="00A52BE2"/>
    <w:rsid w:val="00A55425"/>
    <w:rsid w:val="00A61B84"/>
    <w:rsid w:val="00A640FE"/>
    <w:rsid w:val="00A77B75"/>
    <w:rsid w:val="00A85EB7"/>
    <w:rsid w:val="00A9041D"/>
    <w:rsid w:val="00A90B1D"/>
    <w:rsid w:val="00A9168F"/>
    <w:rsid w:val="00A922E5"/>
    <w:rsid w:val="00A95AAA"/>
    <w:rsid w:val="00AA5A4E"/>
    <w:rsid w:val="00AC60BF"/>
    <w:rsid w:val="00AC7B35"/>
    <w:rsid w:val="00AE10C0"/>
    <w:rsid w:val="00AE4E9E"/>
    <w:rsid w:val="00B04A5D"/>
    <w:rsid w:val="00B063DE"/>
    <w:rsid w:val="00B13A78"/>
    <w:rsid w:val="00B22939"/>
    <w:rsid w:val="00B2774B"/>
    <w:rsid w:val="00B47F31"/>
    <w:rsid w:val="00B50BC0"/>
    <w:rsid w:val="00B57628"/>
    <w:rsid w:val="00B63736"/>
    <w:rsid w:val="00B7189A"/>
    <w:rsid w:val="00B7733D"/>
    <w:rsid w:val="00B87CD9"/>
    <w:rsid w:val="00B905BD"/>
    <w:rsid w:val="00B92693"/>
    <w:rsid w:val="00B957BC"/>
    <w:rsid w:val="00BA6E4F"/>
    <w:rsid w:val="00BD18D1"/>
    <w:rsid w:val="00BE08BB"/>
    <w:rsid w:val="00BE1878"/>
    <w:rsid w:val="00BE59E7"/>
    <w:rsid w:val="00C07644"/>
    <w:rsid w:val="00C11C8F"/>
    <w:rsid w:val="00C3260F"/>
    <w:rsid w:val="00C3642B"/>
    <w:rsid w:val="00C40D18"/>
    <w:rsid w:val="00C45D3D"/>
    <w:rsid w:val="00C67352"/>
    <w:rsid w:val="00C72C97"/>
    <w:rsid w:val="00C72DF6"/>
    <w:rsid w:val="00C75C54"/>
    <w:rsid w:val="00C8470A"/>
    <w:rsid w:val="00C92643"/>
    <w:rsid w:val="00C95D69"/>
    <w:rsid w:val="00CA00F1"/>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47C"/>
    <w:rsid w:val="00D83EAB"/>
    <w:rsid w:val="00D83FDA"/>
    <w:rsid w:val="00D84966"/>
    <w:rsid w:val="00D9794E"/>
    <w:rsid w:val="00DA321B"/>
    <w:rsid w:val="00DA3E8B"/>
    <w:rsid w:val="00DB14B0"/>
    <w:rsid w:val="00DB345F"/>
    <w:rsid w:val="00DB6AD6"/>
    <w:rsid w:val="00DB7F5E"/>
    <w:rsid w:val="00DE18FD"/>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E27C6"/>
    <w:rsid w:val="00EF4B38"/>
    <w:rsid w:val="00EF6FB6"/>
    <w:rsid w:val="00F029BA"/>
    <w:rsid w:val="00F12A77"/>
    <w:rsid w:val="00F1314D"/>
    <w:rsid w:val="00F21126"/>
    <w:rsid w:val="00F324CF"/>
    <w:rsid w:val="00F479D1"/>
    <w:rsid w:val="00F47A65"/>
    <w:rsid w:val="00F47A75"/>
    <w:rsid w:val="00F50C1D"/>
    <w:rsid w:val="00F5467C"/>
    <w:rsid w:val="00F63D89"/>
    <w:rsid w:val="00F86262"/>
    <w:rsid w:val="00F86DDA"/>
    <w:rsid w:val="00F95642"/>
    <w:rsid w:val="00F97090"/>
    <w:rsid w:val="00FA11AF"/>
    <w:rsid w:val="00FA6495"/>
    <w:rsid w:val="00FB1A62"/>
    <w:rsid w:val="00FC0A82"/>
    <w:rsid w:val="00FC5FED"/>
    <w:rsid w:val="010F4C36"/>
    <w:rsid w:val="010F5A08"/>
    <w:rsid w:val="01794995"/>
    <w:rsid w:val="025C2ACD"/>
    <w:rsid w:val="026C3CC9"/>
    <w:rsid w:val="041B79E1"/>
    <w:rsid w:val="049C585A"/>
    <w:rsid w:val="04BF7BF7"/>
    <w:rsid w:val="04D33E0F"/>
    <w:rsid w:val="059029E6"/>
    <w:rsid w:val="06DB47B5"/>
    <w:rsid w:val="07380C1A"/>
    <w:rsid w:val="08050606"/>
    <w:rsid w:val="088756F4"/>
    <w:rsid w:val="0A5276CF"/>
    <w:rsid w:val="0AB91C84"/>
    <w:rsid w:val="0B796AB0"/>
    <w:rsid w:val="0C0607B5"/>
    <w:rsid w:val="0CB35DA6"/>
    <w:rsid w:val="0D970163"/>
    <w:rsid w:val="10193A63"/>
    <w:rsid w:val="120D049C"/>
    <w:rsid w:val="122D1B9D"/>
    <w:rsid w:val="125200DA"/>
    <w:rsid w:val="12BB1FA1"/>
    <w:rsid w:val="13187DE4"/>
    <w:rsid w:val="136454BB"/>
    <w:rsid w:val="15CB5442"/>
    <w:rsid w:val="17282DD9"/>
    <w:rsid w:val="17AA3B32"/>
    <w:rsid w:val="17C4452A"/>
    <w:rsid w:val="194B04C9"/>
    <w:rsid w:val="19AA1DAD"/>
    <w:rsid w:val="19BD6F63"/>
    <w:rsid w:val="1AEB5D59"/>
    <w:rsid w:val="1BB308F9"/>
    <w:rsid w:val="1CBD5533"/>
    <w:rsid w:val="1F072B2E"/>
    <w:rsid w:val="1F404206"/>
    <w:rsid w:val="1F610724"/>
    <w:rsid w:val="210778EC"/>
    <w:rsid w:val="23391F65"/>
    <w:rsid w:val="23B91264"/>
    <w:rsid w:val="23C1620C"/>
    <w:rsid w:val="244A79AB"/>
    <w:rsid w:val="25480F3B"/>
    <w:rsid w:val="27C22947"/>
    <w:rsid w:val="2956542F"/>
    <w:rsid w:val="296F25ED"/>
    <w:rsid w:val="2A717B3D"/>
    <w:rsid w:val="2B7D268D"/>
    <w:rsid w:val="2B8854D1"/>
    <w:rsid w:val="2BA54B60"/>
    <w:rsid w:val="2C117536"/>
    <w:rsid w:val="2C704EAA"/>
    <w:rsid w:val="2DA83456"/>
    <w:rsid w:val="2F3129D3"/>
    <w:rsid w:val="2F882E8F"/>
    <w:rsid w:val="301042CA"/>
    <w:rsid w:val="301F7557"/>
    <w:rsid w:val="30212A50"/>
    <w:rsid w:val="318E1AB4"/>
    <w:rsid w:val="32D21BEC"/>
    <w:rsid w:val="32D93628"/>
    <w:rsid w:val="34367C8B"/>
    <w:rsid w:val="350B2C69"/>
    <w:rsid w:val="35631793"/>
    <w:rsid w:val="36B844C9"/>
    <w:rsid w:val="36D675A2"/>
    <w:rsid w:val="36FC43A1"/>
    <w:rsid w:val="38004A1E"/>
    <w:rsid w:val="383E4D14"/>
    <w:rsid w:val="39414736"/>
    <w:rsid w:val="3EEB7B03"/>
    <w:rsid w:val="3EFC0226"/>
    <w:rsid w:val="40C522D9"/>
    <w:rsid w:val="41812006"/>
    <w:rsid w:val="419E410A"/>
    <w:rsid w:val="43850198"/>
    <w:rsid w:val="43B13E0D"/>
    <w:rsid w:val="44AD63E5"/>
    <w:rsid w:val="453C4529"/>
    <w:rsid w:val="461B0F39"/>
    <w:rsid w:val="465B36F7"/>
    <w:rsid w:val="4811304C"/>
    <w:rsid w:val="485C1012"/>
    <w:rsid w:val="48BA7F80"/>
    <w:rsid w:val="493525A3"/>
    <w:rsid w:val="49AE16C2"/>
    <w:rsid w:val="49D97FFF"/>
    <w:rsid w:val="4A743DC7"/>
    <w:rsid w:val="4B70149D"/>
    <w:rsid w:val="50A918FF"/>
    <w:rsid w:val="51BB2CDB"/>
    <w:rsid w:val="51CC3884"/>
    <w:rsid w:val="521F4C02"/>
    <w:rsid w:val="52375183"/>
    <w:rsid w:val="526135B0"/>
    <w:rsid w:val="534B08F0"/>
    <w:rsid w:val="536016B2"/>
    <w:rsid w:val="5395678C"/>
    <w:rsid w:val="53B63DD9"/>
    <w:rsid w:val="55933B14"/>
    <w:rsid w:val="59DC4C15"/>
    <w:rsid w:val="59EA4A3B"/>
    <w:rsid w:val="5AB03119"/>
    <w:rsid w:val="5B2506D8"/>
    <w:rsid w:val="5B4B28B3"/>
    <w:rsid w:val="5B5E0D5B"/>
    <w:rsid w:val="5CB728E4"/>
    <w:rsid w:val="5EA02EDB"/>
    <w:rsid w:val="5FC641BC"/>
    <w:rsid w:val="603E57E1"/>
    <w:rsid w:val="609B00AA"/>
    <w:rsid w:val="61BD782B"/>
    <w:rsid w:val="628157FA"/>
    <w:rsid w:val="643C1230"/>
    <w:rsid w:val="64BA717A"/>
    <w:rsid w:val="64C15A32"/>
    <w:rsid w:val="65791B93"/>
    <w:rsid w:val="65820A3D"/>
    <w:rsid w:val="65F4374F"/>
    <w:rsid w:val="68211AAD"/>
    <w:rsid w:val="68520CC7"/>
    <w:rsid w:val="6C983437"/>
    <w:rsid w:val="6C9C46CF"/>
    <w:rsid w:val="6CEA69E8"/>
    <w:rsid w:val="6CF93C9D"/>
    <w:rsid w:val="6D4A20C1"/>
    <w:rsid w:val="6D7C074B"/>
    <w:rsid w:val="6D951403"/>
    <w:rsid w:val="6ED73FB6"/>
    <w:rsid w:val="6EF85299"/>
    <w:rsid w:val="6F4A323D"/>
    <w:rsid w:val="70114CD6"/>
    <w:rsid w:val="70670512"/>
    <w:rsid w:val="7155127A"/>
    <w:rsid w:val="74395302"/>
    <w:rsid w:val="7493640B"/>
    <w:rsid w:val="74D56D65"/>
    <w:rsid w:val="76194789"/>
    <w:rsid w:val="765C4EB4"/>
    <w:rsid w:val="769B7E4D"/>
    <w:rsid w:val="770B3F3B"/>
    <w:rsid w:val="774D4688"/>
    <w:rsid w:val="77C60865"/>
    <w:rsid w:val="78A05CA1"/>
    <w:rsid w:val="78C25017"/>
    <w:rsid w:val="7A600607"/>
    <w:rsid w:val="7DBB2585"/>
    <w:rsid w:val="7EFD43EF"/>
    <w:rsid w:val="7F2834C3"/>
    <w:rsid w:val="7FF81A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5">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2"/>
    </w:rPr>
  </w:style>
  <w:style w:type="paragraph" w:styleId="3">
    <w:name w:val="Body Text"/>
    <w:basedOn w:val="1"/>
    <w:next w:val="1"/>
    <w:link w:val="17"/>
    <w:qFormat/>
    <w:uiPriority w:val="0"/>
    <w:pPr>
      <w:spacing w:before="100" w:line="360" w:lineRule="exact"/>
      <w:jc w:val="center"/>
    </w:pPr>
    <w:rPr>
      <w:rFonts w:ascii="仿宋_GB2312" w:hAnsi="华文中宋" w:eastAsia="仿宋_GB2312"/>
      <w:sz w:val="24"/>
      <w:szCs w:val="24"/>
    </w:rPr>
  </w:style>
  <w:style w:type="paragraph" w:styleId="6">
    <w:name w:val="Date"/>
    <w:basedOn w:val="1"/>
    <w:next w:val="1"/>
    <w:qFormat/>
    <w:uiPriority w:val="0"/>
    <w:pPr>
      <w:ind w:left="100" w:leftChars="2500"/>
    </w:pPr>
    <w:rPr>
      <w:rFonts w:ascii="仿宋_GB2312" w:eastAsia="仿宋_GB2312"/>
      <w:sz w:val="32"/>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rFonts w:cs="Times New Roman"/>
      <w:b/>
      <w:bCs/>
    </w:rPr>
  </w:style>
  <w:style w:type="character" w:styleId="15">
    <w:name w:val="page number"/>
    <w:qFormat/>
    <w:uiPriority w:val="0"/>
  </w:style>
  <w:style w:type="character" w:styleId="16">
    <w:name w:val="Hyperlink"/>
    <w:unhideWhenUsed/>
    <w:qFormat/>
    <w:uiPriority w:val="99"/>
    <w:rPr>
      <w:color w:val="0000FF"/>
      <w:u w:val="single"/>
    </w:rPr>
  </w:style>
  <w:style w:type="character" w:customStyle="1" w:styleId="17">
    <w:name w:val="正文文本 字符"/>
    <w:link w:val="3"/>
    <w:qFormat/>
    <w:uiPriority w:val="0"/>
    <w:rPr>
      <w:kern w:val="2"/>
      <w:sz w:val="21"/>
      <w:szCs w:val="24"/>
    </w:rPr>
  </w:style>
  <w:style w:type="character" w:customStyle="1" w:styleId="18">
    <w:name w:val="_Style 17"/>
    <w:unhideWhenUsed/>
    <w:qFormat/>
    <w:uiPriority w:val="99"/>
    <w:rPr>
      <w:color w:val="605E5C"/>
      <w:shd w:val="clear" w:color="auto" w:fill="E1DFDD"/>
    </w:rPr>
  </w:style>
  <w:style w:type="character" w:customStyle="1" w:styleId="19">
    <w:name w:val="正文-工信委 Char"/>
    <w:link w:val="20"/>
    <w:qFormat/>
    <w:uiPriority w:val="0"/>
    <w:rPr>
      <w:rFonts w:eastAsia="仿宋_GB2312"/>
      <w:sz w:val="32"/>
      <w:szCs w:val="32"/>
    </w:rPr>
  </w:style>
  <w:style w:type="paragraph" w:customStyle="1" w:styleId="20">
    <w:name w:val="正文-工信委"/>
    <w:basedOn w:val="1"/>
    <w:link w:val="19"/>
    <w:qFormat/>
    <w:uiPriority w:val="0"/>
    <w:pPr>
      <w:spacing w:line="560" w:lineRule="exact"/>
      <w:ind w:firstLine="200" w:firstLineChars="200"/>
    </w:pPr>
    <w:rPr>
      <w:rFonts w:eastAsia="仿宋_GB2312"/>
      <w:kern w:val="0"/>
      <w:sz w:val="32"/>
      <w:szCs w:val="32"/>
    </w:rPr>
  </w:style>
  <w:style w:type="paragraph" w:customStyle="1" w:styleId="21">
    <w:name w:val="Title1"/>
    <w:qFormat/>
    <w:uiPriority w:val="0"/>
    <w:pPr>
      <w:jc w:val="center"/>
    </w:pPr>
    <w:rPr>
      <w:rFonts w:ascii="Calibri" w:hAnsi="Calibri" w:eastAsia="黑体" w:cs="Times New Roman"/>
      <w:kern w:val="2"/>
      <w:sz w:val="44"/>
      <w:szCs w:val="22"/>
      <w:lang w:val="en-US" w:eastAsia="zh-CN" w:bidi="ar-SA"/>
    </w:rPr>
  </w:style>
  <w:style w:type="paragraph" w:customStyle="1" w:styleId="22">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3">
    <w:name w:val="text"/>
    <w:basedOn w:val="1"/>
    <w:qFormat/>
    <w:uiPriority w:val="0"/>
    <w:pPr>
      <w:spacing w:line="360" w:lineRule="auto"/>
      <w:ind w:firstLine="420"/>
    </w:pPr>
    <w:rPr>
      <w:rFonts w:ascii="Calibri" w:hAnsi="Calibri" w:eastAsia="仿宋_GB2312"/>
      <w:sz w:val="24"/>
      <w:szCs w:val="20"/>
    </w:rPr>
  </w:style>
  <w:style w:type="paragraph" w:customStyle="1" w:styleId="24">
    <w:name w:val="标题 1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5">
    <w:name w:val="列出段落1"/>
    <w:basedOn w:val="1"/>
    <w:qFormat/>
    <w:uiPriority w:val="34"/>
    <w:pPr>
      <w:ind w:firstLine="420" w:firstLineChars="200"/>
    </w:pPr>
    <w:rPr>
      <w:rFonts w:ascii="Times New Roman" w:hAnsi="Times New Roman" w:eastAsia="宋体" w:cs="Times New Roman"/>
      <w:szCs w:val="20"/>
    </w:rPr>
  </w:style>
  <w:style w:type="paragraph" w:styleId="26">
    <w:name w:val="List Paragraph"/>
    <w:basedOn w:val="1"/>
    <w:qFormat/>
    <w:uiPriority w:val="34"/>
    <w:pPr>
      <w:ind w:firstLine="420" w:firstLineChars="200"/>
    </w:pPr>
  </w:style>
  <w:style w:type="paragraph" w:customStyle="1" w:styleId="27">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bebc12fe-0aed-4c4c-9c80-f37b9061ee28</errorID>
      <errorWord>集成电</errorWord>
      <group>L1_Political</group>
      <groupName>政治性问题</groupName>
      <ability>L2_Keyword</ability>
      <abilityName>固定表述</abilityName>
      <candidateList>
        <item>集成电路</item>
      </candidateList>
      <explain>此处内容疑似含有固定表述相关错误，建议核查。</explain>
      <paraID>154E19AF</paraID>
      <start>68</start>
      <end>72</end>
      <status>modified</status>
      <modifiedWord>集成电路</modifiedWord>
      <trackRevisions>false</trackRevisions>
    </reviewItem>
    <reviewItem>
      <errorID>89c03580-25e4-4d17-a131-54588852515a</errorID>
      <errorWord>其它</errorWord>
      <group>L1_Word</group>
      <groupName>字词问题</groupName>
      <ability>L2_Typo</ability>
      <abilityName>字词错误</abilityName>
      <candidateList>
        <item>其他</item>
      </candidateList>
      <explain/>
      <paraID>2B853286</paraID>
      <start>0</start>
      <end>2</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4c128859-e3d0-4cfa-a925-fada1dffa53e}">
  <ds:schemaRefs/>
</ds:datastoreItem>
</file>

<file path=docProps/app.xml><?xml version="1.0" encoding="utf-8"?>
<Properties xmlns="http://schemas.openxmlformats.org/officeDocument/2006/extended-properties" xmlns:vt="http://schemas.openxmlformats.org/officeDocument/2006/docPropsVTypes">
  <Template>平级发文.dot</Template>
  <Company>tjec</Company>
  <Pages>4</Pages>
  <Words>989</Words>
  <Characters>1012</Characters>
  <Lines>99</Lines>
  <Paragraphs>73</Paragraphs>
  <TotalTime>0</TotalTime>
  <ScaleCrop>false</ScaleCrop>
  <LinksUpToDate>false</LinksUpToDate>
  <CharactersWithSpaces>1072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2026-07-01T07:45:00Z</dcterms:created>
  <dc:creator>办公室</dc:creator>
  <cp:lastModifiedBy>许可</cp:lastModifiedBy>
  <cp:lastPrinted>2024-02-19T07:45:00Z</cp:lastPrinted>
  <dcterms:modified xsi:type="dcterms:W3CDTF">2026-08-04T08:53:53Z</dcterms:modified>
  <dc:title>津经[2003]号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013761540B48473EB9CC43CF32D7C4AB_13</vt:lpwstr>
  </property>
  <property fmtid="{D5CDD505-2E9C-101B-9397-08002B2CF9AE}" pid="4" name="KSOTemplateDocerSaveRecord">
    <vt:lpwstr>eyJoZGlkIjoiZWYyOGY0ODA1MGQzODE1NTMzZmYwNGU3YWZhNmMxMDUiLCJ1c2VySWQiOiIzOTcyMTg2NjEifQ==</vt:lpwstr>
  </property>
</Properties>
</file>